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57A20">
      <w:pPr>
        <w:pStyle w:val="Title"/>
        <w:spacing w:line="360" w:lineRule="auto"/>
      </w:pPr>
      <w:r>
        <w:t>STANDARD OPERATING PROCEDURE</w:t>
      </w:r>
    </w:p>
    <w:p w:rsidR="00000000" w:rsidRDefault="00657A20">
      <w:pPr>
        <w:spacing w:line="360" w:lineRule="auto"/>
        <w:jc w:val="center"/>
        <w:rPr>
          <w:b/>
          <w:bCs/>
          <w:sz w:val="24"/>
        </w:rPr>
      </w:pPr>
      <w:r>
        <w:rPr>
          <w:b/>
          <w:bCs/>
          <w:sz w:val="24"/>
        </w:rPr>
        <w:t>ESTIMATION OF ANALYTICAL MEASUREMENT UNCERTAINTY</w:t>
      </w:r>
    </w:p>
    <w:p w:rsidR="00000000" w:rsidRDefault="00657A20">
      <w:pPr>
        <w:spacing w:line="360" w:lineRule="auto"/>
        <w:jc w:val="center"/>
        <w:rPr>
          <w:b/>
          <w:bCs/>
          <w:sz w:val="24"/>
        </w:rPr>
      </w:pPr>
    </w:p>
    <w:p w:rsidR="00000000" w:rsidRDefault="00657A20">
      <w:pPr>
        <w:spacing w:line="360" w:lineRule="auto"/>
        <w:rPr>
          <w:b/>
          <w:bCs/>
          <w:sz w:val="24"/>
        </w:rPr>
      </w:pPr>
    </w:p>
    <w:p w:rsidR="00000000" w:rsidRDefault="00657A20">
      <w:pPr>
        <w:pStyle w:val="Heading1"/>
        <w:spacing w:line="360" w:lineRule="auto"/>
        <w:rPr>
          <w:u w:val="none"/>
        </w:rPr>
      </w:pPr>
      <w:r>
        <w:rPr>
          <w:u w:val="none"/>
        </w:rPr>
        <w:t>Signature and Title</w:t>
      </w:r>
    </w:p>
    <w:p w:rsidR="00000000" w:rsidRDefault="00657A20">
      <w:pPr>
        <w:spacing w:line="360" w:lineRule="auto"/>
        <w:rPr>
          <w:b/>
          <w:bCs/>
          <w:sz w:val="24"/>
        </w:rPr>
      </w:pPr>
    </w:p>
    <w:p w:rsidR="00000000" w:rsidRDefault="00657A20">
      <w:pPr>
        <w:spacing w:line="360" w:lineRule="auto"/>
        <w:rPr>
          <w:b/>
          <w:bCs/>
          <w:sz w:val="24"/>
        </w:rPr>
      </w:pPr>
      <w:r>
        <w:rPr>
          <w:b/>
          <w:bCs/>
          <w:sz w:val="24"/>
        </w:rPr>
        <w:t>---------------------------------------------------------------------------------</w:t>
      </w:r>
      <w:r>
        <w:rPr>
          <w:b/>
          <w:bCs/>
          <w:sz w:val="24"/>
        </w:rPr>
        <w:tab/>
      </w:r>
      <w:r>
        <w:rPr>
          <w:b/>
          <w:bCs/>
          <w:sz w:val="24"/>
        </w:rPr>
        <w:tab/>
        <w:t>-----------------</w:t>
      </w:r>
    </w:p>
    <w:p w:rsidR="00000000" w:rsidRDefault="00657A20">
      <w:pPr>
        <w:pStyle w:val="Heading1"/>
        <w:spacing w:line="360" w:lineRule="auto"/>
        <w:rPr>
          <w:u w:val="none"/>
        </w:rPr>
      </w:pPr>
      <w:r>
        <w:rPr>
          <w:u w:val="none"/>
        </w:rPr>
        <w:t>Director</w:t>
      </w:r>
      <w:r>
        <w:rPr>
          <w:u w:val="none"/>
        </w:rPr>
        <w:tab/>
      </w:r>
      <w:r>
        <w:rPr>
          <w:u w:val="none"/>
        </w:rPr>
        <w:tab/>
      </w:r>
      <w:r>
        <w:rPr>
          <w:u w:val="none"/>
        </w:rPr>
        <w:tab/>
      </w:r>
      <w:r>
        <w:rPr>
          <w:u w:val="none"/>
        </w:rPr>
        <w:tab/>
      </w:r>
      <w:r>
        <w:rPr>
          <w:u w:val="none"/>
        </w:rPr>
        <w:tab/>
      </w:r>
      <w:r>
        <w:rPr>
          <w:u w:val="none"/>
        </w:rPr>
        <w:tab/>
      </w:r>
      <w:r>
        <w:rPr>
          <w:u w:val="none"/>
        </w:rPr>
        <w:tab/>
      </w:r>
      <w:r>
        <w:rPr>
          <w:u w:val="none"/>
        </w:rPr>
        <w:tab/>
      </w:r>
      <w:r>
        <w:rPr>
          <w:u w:val="none"/>
        </w:rPr>
        <w:tab/>
        <w:t>Date</w:t>
      </w:r>
    </w:p>
    <w:p w:rsidR="00000000" w:rsidRDefault="00657A20">
      <w:pPr>
        <w:spacing w:line="360" w:lineRule="auto"/>
        <w:rPr>
          <w:b/>
          <w:bCs/>
          <w:sz w:val="24"/>
        </w:rPr>
      </w:pPr>
    </w:p>
    <w:p w:rsidR="00000000" w:rsidRDefault="00657A20">
      <w:pPr>
        <w:spacing w:line="360" w:lineRule="auto"/>
        <w:rPr>
          <w:b/>
          <w:bCs/>
          <w:sz w:val="24"/>
        </w:rPr>
      </w:pPr>
      <w:r>
        <w:rPr>
          <w:b/>
          <w:bCs/>
          <w:sz w:val="24"/>
        </w:rPr>
        <w:t>-------------------------------</w:t>
      </w:r>
      <w:r>
        <w:rPr>
          <w:b/>
          <w:bCs/>
          <w:sz w:val="24"/>
        </w:rPr>
        <w:t>--------------------------------------------------</w:t>
      </w:r>
      <w:r>
        <w:rPr>
          <w:b/>
          <w:bCs/>
          <w:sz w:val="24"/>
        </w:rPr>
        <w:tab/>
      </w:r>
      <w:r>
        <w:rPr>
          <w:b/>
          <w:bCs/>
          <w:sz w:val="24"/>
        </w:rPr>
        <w:tab/>
        <w:t>-----------------</w:t>
      </w:r>
    </w:p>
    <w:p w:rsidR="00000000" w:rsidRDefault="00657A20">
      <w:pPr>
        <w:pStyle w:val="Heading1"/>
        <w:spacing w:line="360" w:lineRule="auto"/>
        <w:rPr>
          <w:u w:val="none"/>
        </w:rPr>
      </w:pPr>
      <w:r>
        <w:rPr>
          <w:u w:val="none"/>
        </w:rPr>
        <w:t>Laboratory Quality Assurance</w:t>
      </w:r>
      <w:r>
        <w:rPr>
          <w:u w:val="none"/>
        </w:rPr>
        <w:tab/>
      </w:r>
      <w:r>
        <w:rPr>
          <w:u w:val="none"/>
        </w:rPr>
        <w:tab/>
      </w:r>
      <w:r>
        <w:rPr>
          <w:u w:val="none"/>
        </w:rPr>
        <w:tab/>
      </w:r>
      <w:r>
        <w:rPr>
          <w:u w:val="none"/>
        </w:rPr>
        <w:tab/>
      </w:r>
      <w:r>
        <w:rPr>
          <w:u w:val="none"/>
        </w:rPr>
        <w:tab/>
      </w:r>
      <w:r>
        <w:rPr>
          <w:u w:val="none"/>
        </w:rPr>
        <w:tab/>
        <w:t>Date</w:t>
      </w:r>
    </w:p>
    <w:p w:rsidR="00000000" w:rsidRDefault="00657A20">
      <w:pPr>
        <w:spacing w:line="360" w:lineRule="auto"/>
        <w:rPr>
          <w:b/>
          <w:bCs/>
          <w:sz w:val="24"/>
        </w:rPr>
      </w:pPr>
    </w:p>
    <w:p w:rsidR="00000000" w:rsidRDefault="00657A20">
      <w:pPr>
        <w:spacing w:line="360" w:lineRule="auto"/>
        <w:rPr>
          <w:b/>
          <w:bCs/>
          <w:sz w:val="24"/>
        </w:rPr>
      </w:pPr>
      <w:r>
        <w:rPr>
          <w:b/>
          <w:bCs/>
        </w:rPr>
        <w:br w:type="page"/>
      </w:r>
      <w:r>
        <w:rPr>
          <w:b/>
          <w:bCs/>
          <w:sz w:val="24"/>
        </w:rPr>
        <w:lastRenderedPageBreak/>
        <w:t>TABLE OF CONTENTS</w:t>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Pr>
          <w:b/>
          <w:bCs/>
          <w:sz w:val="24"/>
        </w:rPr>
        <w:tab/>
        <w:t>PAGE</w:t>
      </w:r>
      <w:r>
        <w:rPr>
          <w:b/>
          <w:bCs/>
          <w:sz w:val="24"/>
        </w:rPr>
        <w:tab/>
      </w:r>
    </w:p>
    <w:p w:rsidR="00000000" w:rsidRDefault="00657A20" w:rsidP="00657A20">
      <w:pPr>
        <w:pStyle w:val="Heading1"/>
        <w:numPr>
          <w:ilvl w:val="0"/>
          <w:numId w:val="10"/>
        </w:numPr>
        <w:spacing w:line="360" w:lineRule="auto"/>
        <w:rPr>
          <w:u w:val="none"/>
        </w:rPr>
      </w:pPr>
      <w:r>
        <w:rPr>
          <w:u w:val="none"/>
        </w:rPr>
        <w:t>SCOPE AND APPLICATION</w:t>
      </w:r>
      <w:r>
        <w:rPr>
          <w:u w:val="none"/>
        </w:rPr>
        <w:tab/>
      </w:r>
      <w:r>
        <w:rPr>
          <w:u w:val="none"/>
        </w:rPr>
        <w:tab/>
      </w:r>
      <w:r>
        <w:rPr>
          <w:u w:val="none"/>
        </w:rPr>
        <w:tab/>
      </w:r>
      <w:r>
        <w:rPr>
          <w:u w:val="none"/>
        </w:rPr>
        <w:tab/>
      </w:r>
      <w:r>
        <w:rPr>
          <w:u w:val="none"/>
        </w:rPr>
        <w:tab/>
      </w:r>
      <w:r>
        <w:rPr>
          <w:u w:val="none"/>
        </w:rPr>
        <w:tab/>
        <w:t>3</w:t>
      </w:r>
    </w:p>
    <w:p w:rsidR="00000000" w:rsidRDefault="00657A20" w:rsidP="00657A20">
      <w:pPr>
        <w:pStyle w:val="Heading1"/>
        <w:numPr>
          <w:ilvl w:val="0"/>
          <w:numId w:val="10"/>
        </w:numPr>
        <w:spacing w:line="360" w:lineRule="auto"/>
        <w:rPr>
          <w:u w:val="none"/>
        </w:rPr>
      </w:pPr>
      <w:r>
        <w:rPr>
          <w:u w:val="none"/>
        </w:rPr>
        <w:t>PURPOSE</w:t>
      </w:r>
      <w:r>
        <w:rPr>
          <w:u w:val="none"/>
        </w:rPr>
        <w:tab/>
      </w:r>
      <w:r>
        <w:rPr>
          <w:u w:val="none"/>
        </w:rPr>
        <w:tab/>
      </w:r>
      <w:r>
        <w:rPr>
          <w:u w:val="none"/>
        </w:rPr>
        <w:tab/>
      </w:r>
      <w:r>
        <w:rPr>
          <w:u w:val="none"/>
        </w:rPr>
        <w:tab/>
      </w:r>
      <w:r>
        <w:rPr>
          <w:u w:val="none"/>
        </w:rPr>
        <w:tab/>
      </w:r>
      <w:r>
        <w:rPr>
          <w:u w:val="none"/>
        </w:rPr>
        <w:tab/>
      </w:r>
      <w:r>
        <w:rPr>
          <w:u w:val="none"/>
        </w:rPr>
        <w:tab/>
      </w:r>
      <w:r>
        <w:rPr>
          <w:u w:val="none"/>
        </w:rPr>
        <w:tab/>
        <w:t>4</w:t>
      </w:r>
    </w:p>
    <w:p w:rsidR="00000000" w:rsidRDefault="00657A20" w:rsidP="00657A20">
      <w:pPr>
        <w:pStyle w:val="Heading1"/>
        <w:numPr>
          <w:ilvl w:val="0"/>
          <w:numId w:val="10"/>
        </w:numPr>
        <w:spacing w:line="360" w:lineRule="auto"/>
        <w:rPr>
          <w:u w:val="none"/>
        </w:rPr>
      </w:pPr>
      <w:r>
        <w:rPr>
          <w:u w:val="none"/>
        </w:rPr>
        <w:t>SUMMARY OF METHOD</w:t>
      </w:r>
      <w:r>
        <w:rPr>
          <w:u w:val="none"/>
        </w:rPr>
        <w:tab/>
      </w:r>
      <w:r>
        <w:rPr>
          <w:u w:val="none"/>
        </w:rPr>
        <w:tab/>
      </w:r>
      <w:r>
        <w:rPr>
          <w:u w:val="none"/>
        </w:rPr>
        <w:tab/>
      </w:r>
      <w:r>
        <w:rPr>
          <w:u w:val="none"/>
        </w:rPr>
        <w:tab/>
      </w:r>
      <w:r>
        <w:rPr>
          <w:u w:val="none"/>
        </w:rPr>
        <w:tab/>
      </w:r>
      <w:r>
        <w:rPr>
          <w:u w:val="none"/>
        </w:rPr>
        <w:tab/>
        <w:t>5</w:t>
      </w:r>
    </w:p>
    <w:p w:rsidR="00000000" w:rsidRDefault="00657A20" w:rsidP="00657A20">
      <w:pPr>
        <w:pStyle w:val="Heading1"/>
        <w:numPr>
          <w:ilvl w:val="0"/>
          <w:numId w:val="10"/>
        </w:numPr>
        <w:spacing w:line="360" w:lineRule="auto"/>
        <w:rPr>
          <w:u w:val="none"/>
        </w:rPr>
      </w:pPr>
      <w:r>
        <w:rPr>
          <w:u w:val="none"/>
        </w:rPr>
        <w:t xml:space="preserve">DEFINITIONS </w:t>
      </w:r>
      <w:r>
        <w:rPr>
          <w:u w:val="none"/>
        </w:rPr>
        <w:tab/>
      </w:r>
      <w:r>
        <w:rPr>
          <w:u w:val="none"/>
        </w:rPr>
        <w:tab/>
      </w:r>
      <w:r>
        <w:rPr>
          <w:u w:val="none"/>
        </w:rPr>
        <w:tab/>
      </w:r>
      <w:r>
        <w:rPr>
          <w:u w:val="none"/>
        </w:rPr>
        <w:tab/>
      </w:r>
      <w:r>
        <w:rPr>
          <w:u w:val="none"/>
        </w:rPr>
        <w:tab/>
      </w:r>
      <w:r>
        <w:rPr>
          <w:u w:val="none"/>
        </w:rPr>
        <w:tab/>
      </w:r>
      <w:r>
        <w:rPr>
          <w:u w:val="none"/>
        </w:rPr>
        <w:tab/>
      </w:r>
      <w:r>
        <w:rPr>
          <w:u w:val="none"/>
        </w:rPr>
        <w:tab/>
        <w:t>6</w:t>
      </w:r>
    </w:p>
    <w:p w:rsidR="00000000" w:rsidRDefault="00657A20" w:rsidP="00657A20">
      <w:pPr>
        <w:pStyle w:val="Heading1"/>
        <w:numPr>
          <w:ilvl w:val="0"/>
          <w:numId w:val="10"/>
        </w:numPr>
        <w:spacing w:line="360" w:lineRule="auto"/>
        <w:rPr>
          <w:u w:val="none"/>
        </w:rPr>
      </w:pPr>
      <w:r>
        <w:rPr>
          <w:u w:val="none"/>
        </w:rPr>
        <w:t xml:space="preserve">QUALITY CONTROL </w:t>
      </w:r>
      <w:r>
        <w:rPr>
          <w:u w:val="none"/>
        </w:rPr>
        <w:tab/>
      </w:r>
      <w:r>
        <w:rPr>
          <w:u w:val="none"/>
        </w:rPr>
        <w:tab/>
      </w:r>
      <w:r>
        <w:rPr>
          <w:u w:val="none"/>
        </w:rPr>
        <w:tab/>
      </w:r>
      <w:r>
        <w:rPr>
          <w:u w:val="none"/>
        </w:rPr>
        <w:tab/>
      </w:r>
      <w:r>
        <w:rPr>
          <w:u w:val="none"/>
        </w:rPr>
        <w:tab/>
      </w:r>
      <w:r>
        <w:rPr>
          <w:u w:val="none"/>
        </w:rPr>
        <w:tab/>
      </w:r>
      <w:r>
        <w:rPr>
          <w:u w:val="none"/>
        </w:rPr>
        <w:tab/>
        <w:t>10</w:t>
      </w:r>
    </w:p>
    <w:p w:rsidR="00000000" w:rsidRDefault="00657A20" w:rsidP="00657A20">
      <w:pPr>
        <w:pStyle w:val="Heading1"/>
        <w:numPr>
          <w:ilvl w:val="0"/>
          <w:numId w:val="10"/>
        </w:numPr>
        <w:spacing w:line="360" w:lineRule="auto"/>
        <w:rPr>
          <w:u w:val="none"/>
        </w:rPr>
      </w:pPr>
      <w:r>
        <w:rPr>
          <w:u w:val="none"/>
        </w:rPr>
        <w:t>PROCEDURE</w:t>
      </w:r>
      <w:r>
        <w:rPr>
          <w:u w:val="none"/>
        </w:rPr>
        <w:tab/>
      </w:r>
      <w:r>
        <w:rPr>
          <w:u w:val="none"/>
        </w:rPr>
        <w:tab/>
      </w:r>
      <w:r>
        <w:rPr>
          <w:u w:val="none"/>
        </w:rPr>
        <w:tab/>
      </w:r>
      <w:r>
        <w:rPr>
          <w:u w:val="none"/>
        </w:rPr>
        <w:tab/>
      </w:r>
      <w:r>
        <w:rPr>
          <w:u w:val="none"/>
        </w:rPr>
        <w:tab/>
      </w:r>
      <w:r>
        <w:rPr>
          <w:u w:val="none"/>
        </w:rPr>
        <w:tab/>
      </w:r>
      <w:r>
        <w:rPr>
          <w:u w:val="none"/>
        </w:rPr>
        <w:tab/>
      </w:r>
      <w:r>
        <w:rPr>
          <w:u w:val="none"/>
        </w:rPr>
        <w:tab/>
        <w:t>11</w:t>
      </w:r>
    </w:p>
    <w:p w:rsidR="00000000" w:rsidRDefault="00657A20" w:rsidP="00657A20">
      <w:pPr>
        <w:pStyle w:val="Heading1"/>
        <w:numPr>
          <w:ilvl w:val="0"/>
          <w:numId w:val="10"/>
        </w:numPr>
        <w:spacing w:line="360" w:lineRule="auto"/>
        <w:rPr>
          <w:u w:val="none"/>
        </w:rPr>
      </w:pPr>
      <w:r>
        <w:rPr>
          <w:u w:val="none"/>
        </w:rPr>
        <w:t>DOCUMENTATION</w:t>
      </w:r>
      <w:r>
        <w:rPr>
          <w:u w:val="none"/>
        </w:rPr>
        <w:tab/>
      </w:r>
      <w:r>
        <w:rPr>
          <w:u w:val="none"/>
        </w:rPr>
        <w:tab/>
      </w:r>
      <w:r>
        <w:rPr>
          <w:u w:val="none"/>
        </w:rPr>
        <w:tab/>
      </w:r>
      <w:r>
        <w:rPr>
          <w:u w:val="none"/>
        </w:rPr>
        <w:tab/>
      </w:r>
      <w:r>
        <w:rPr>
          <w:u w:val="none"/>
        </w:rPr>
        <w:tab/>
      </w:r>
      <w:r>
        <w:rPr>
          <w:u w:val="none"/>
        </w:rPr>
        <w:tab/>
      </w:r>
      <w:r>
        <w:rPr>
          <w:u w:val="none"/>
        </w:rPr>
        <w:tab/>
        <w:t xml:space="preserve">12 </w:t>
      </w:r>
    </w:p>
    <w:p w:rsidR="00000000" w:rsidRDefault="00657A20" w:rsidP="00657A20">
      <w:pPr>
        <w:pStyle w:val="Heading1"/>
        <w:numPr>
          <w:ilvl w:val="0"/>
          <w:numId w:val="10"/>
        </w:numPr>
        <w:spacing w:line="360" w:lineRule="auto"/>
        <w:rPr>
          <w:u w:val="none"/>
        </w:rPr>
      </w:pPr>
      <w:r>
        <w:rPr>
          <w:u w:val="none"/>
        </w:rPr>
        <w:t>REFERENCES</w:t>
      </w:r>
      <w:r>
        <w:rPr>
          <w:u w:val="none"/>
        </w:rPr>
        <w:tab/>
      </w:r>
      <w:r>
        <w:rPr>
          <w:u w:val="none"/>
        </w:rPr>
        <w:tab/>
      </w:r>
      <w:r>
        <w:rPr>
          <w:u w:val="none"/>
        </w:rPr>
        <w:tab/>
      </w:r>
      <w:r>
        <w:rPr>
          <w:u w:val="none"/>
        </w:rPr>
        <w:tab/>
      </w:r>
      <w:r>
        <w:rPr>
          <w:u w:val="none"/>
        </w:rPr>
        <w:tab/>
      </w:r>
      <w:r>
        <w:rPr>
          <w:u w:val="none"/>
        </w:rPr>
        <w:tab/>
      </w:r>
      <w:r>
        <w:rPr>
          <w:u w:val="none"/>
        </w:rPr>
        <w:tab/>
      </w:r>
      <w:r>
        <w:rPr>
          <w:u w:val="none"/>
        </w:rPr>
        <w:tab/>
        <w:t>13</w:t>
      </w:r>
    </w:p>
    <w:p w:rsidR="00000000" w:rsidRDefault="00657A20">
      <w:pPr>
        <w:pStyle w:val="Heading1"/>
        <w:spacing w:line="360" w:lineRule="auto"/>
        <w:ind w:firstLine="360"/>
        <w:rPr>
          <w:u w:val="none"/>
        </w:rPr>
      </w:pPr>
      <w:r>
        <w:rPr>
          <w:u w:val="none"/>
        </w:rPr>
        <w:t>APPENDIX A: CALCULATIONS</w:t>
      </w:r>
      <w:r>
        <w:rPr>
          <w:u w:val="none"/>
        </w:rPr>
        <w:tab/>
      </w:r>
      <w:r>
        <w:rPr>
          <w:u w:val="none"/>
        </w:rPr>
        <w:tab/>
      </w:r>
      <w:r>
        <w:rPr>
          <w:u w:val="none"/>
        </w:rPr>
        <w:tab/>
      </w:r>
      <w:r>
        <w:rPr>
          <w:u w:val="none"/>
        </w:rPr>
        <w:tab/>
      </w:r>
      <w:r>
        <w:rPr>
          <w:u w:val="none"/>
        </w:rPr>
        <w:tab/>
      </w:r>
      <w:r>
        <w:rPr>
          <w:u w:val="none"/>
        </w:rPr>
        <w:tab/>
        <w:t>14</w:t>
      </w:r>
    </w:p>
    <w:p w:rsidR="00000000" w:rsidRDefault="00657A20">
      <w:pPr>
        <w:pStyle w:val="Heading1"/>
        <w:spacing w:line="360" w:lineRule="auto"/>
        <w:ind w:firstLine="360"/>
        <w:rPr>
          <w:u w:val="none"/>
        </w:rPr>
      </w:pPr>
      <w:r>
        <w:rPr>
          <w:u w:val="none"/>
        </w:rPr>
        <w:t>APPENDIX B: GENERAL UNCERTAINTY BUDGET</w:t>
      </w:r>
      <w:r>
        <w:rPr>
          <w:u w:val="none"/>
        </w:rPr>
        <w:tab/>
      </w:r>
      <w:r>
        <w:rPr>
          <w:u w:val="none"/>
        </w:rPr>
        <w:tab/>
      </w:r>
      <w:r>
        <w:rPr>
          <w:u w:val="none"/>
        </w:rPr>
        <w:tab/>
        <w:t>22</w:t>
      </w:r>
    </w:p>
    <w:p w:rsidR="00000000" w:rsidRDefault="00657A20">
      <w:pPr>
        <w:spacing w:line="360" w:lineRule="auto"/>
        <w:ind w:left="360"/>
        <w:rPr>
          <w:b/>
          <w:bCs/>
          <w:sz w:val="24"/>
        </w:rPr>
      </w:pPr>
      <w:r>
        <w:rPr>
          <w:b/>
          <w:bCs/>
          <w:sz w:val="24"/>
        </w:rPr>
        <w:t>APPENDIX C: EXAMPLE UNCERTAINTY BUDGET</w:t>
      </w:r>
      <w:r>
        <w:rPr>
          <w:b/>
          <w:bCs/>
          <w:sz w:val="24"/>
        </w:rPr>
        <w:tab/>
      </w:r>
      <w:r>
        <w:rPr>
          <w:b/>
          <w:bCs/>
          <w:sz w:val="24"/>
        </w:rPr>
        <w:tab/>
      </w:r>
      <w:r>
        <w:rPr>
          <w:b/>
          <w:bCs/>
          <w:sz w:val="24"/>
        </w:rPr>
        <w:tab/>
        <w:t>23</w:t>
      </w:r>
    </w:p>
    <w:p w:rsidR="00000000" w:rsidRDefault="00657A20">
      <w:pPr>
        <w:pStyle w:val="Heading8"/>
      </w:pPr>
      <w:r>
        <w:t>APPENDIX D: EXAMPLE SPREADSHEET</w:t>
      </w:r>
      <w:r>
        <w:tab/>
      </w:r>
      <w:r>
        <w:tab/>
      </w:r>
      <w:r>
        <w:tab/>
      </w:r>
      <w:r>
        <w:tab/>
      </w:r>
      <w:r>
        <w:tab/>
        <w:t>25</w:t>
      </w:r>
    </w:p>
    <w:p w:rsidR="00000000" w:rsidRDefault="00657A20">
      <w:pPr>
        <w:pStyle w:val="Heading8"/>
      </w:pPr>
      <w:r>
        <w:t>APPENDIX E: SOFTWARE VALID</w:t>
      </w:r>
      <w:r>
        <w:t>ATION</w:t>
      </w:r>
      <w:r>
        <w:tab/>
      </w:r>
      <w:r>
        <w:tab/>
      </w:r>
      <w:r>
        <w:tab/>
      </w:r>
      <w:r>
        <w:tab/>
      </w:r>
      <w:r>
        <w:tab/>
        <w:t>28</w:t>
      </w:r>
    </w:p>
    <w:p w:rsidR="00000000" w:rsidRDefault="00657A20" w:rsidP="00657A20">
      <w:pPr>
        <w:numPr>
          <w:ilvl w:val="0"/>
          <w:numId w:val="7"/>
        </w:numPr>
        <w:tabs>
          <w:tab w:val="clear" w:pos="360"/>
          <w:tab w:val="num" w:pos="720"/>
        </w:tabs>
        <w:spacing w:line="360" w:lineRule="auto"/>
        <w:ind w:left="720" w:hanging="720"/>
        <w:rPr>
          <w:b/>
          <w:bCs/>
          <w:sz w:val="24"/>
        </w:rPr>
      </w:pPr>
      <w:r>
        <w:rPr>
          <w:b/>
          <w:bCs/>
        </w:rPr>
        <w:br w:type="page"/>
      </w:r>
      <w:r>
        <w:rPr>
          <w:b/>
          <w:bCs/>
          <w:sz w:val="24"/>
        </w:rPr>
        <w:lastRenderedPageBreak/>
        <w:t>SCOPE AND APPLICATION</w:t>
      </w:r>
    </w:p>
    <w:p w:rsidR="00000000" w:rsidRDefault="00657A20" w:rsidP="00657A20">
      <w:pPr>
        <w:pStyle w:val="BodyTextIndent"/>
        <w:numPr>
          <w:ilvl w:val="1"/>
          <w:numId w:val="7"/>
        </w:numPr>
        <w:tabs>
          <w:tab w:val="clear" w:pos="900"/>
          <w:tab w:val="num" w:pos="720"/>
          <w:tab w:val="num" w:pos="1080"/>
        </w:tabs>
        <w:spacing w:line="360" w:lineRule="auto"/>
        <w:ind w:left="720" w:hanging="720"/>
      </w:pPr>
      <w:r>
        <w:t xml:space="preserve">This Standard Operating Procedure (SOP) applies to test methods that are within the scope of ISO/IEC 17025-1999 Standard: </w:t>
      </w:r>
      <w:r>
        <w:rPr>
          <w:i/>
          <w:iCs/>
        </w:rPr>
        <w:t xml:space="preserve">General Requirements for the Competence of Testing and Calibration Laboratories </w:t>
      </w:r>
      <w:r>
        <w:t>and it is based on</w:t>
      </w:r>
      <w:r>
        <w:t xml:space="preserve"> the general rules outlined in </w:t>
      </w:r>
      <w:r>
        <w:rPr>
          <w:i/>
          <w:iCs/>
        </w:rPr>
        <w:t>Guide to the Expression of Uncertainty in Measurement (GUM).</w:t>
      </w:r>
      <w:r>
        <w:t xml:space="preserve">  The GUM approach is recommended in ISO/IEC 17025. (17025, 5.4.6.3 Note 3)  </w:t>
      </w:r>
    </w:p>
    <w:p w:rsidR="00000000" w:rsidRDefault="00657A20" w:rsidP="00657A20">
      <w:pPr>
        <w:pStyle w:val="BodyTextIndent"/>
        <w:numPr>
          <w:ilvl w:val="1"/>
          <w:numId w:val="7"/>
        </w:numPr>
        <w:tabs>
          <w:tab w:val="clear" w:pos="900"/>
          <w:tab w:val="num" w:pos="720"/>
          <w:tab w:val="num" w:pos="1080"/>
        </w:tabs>
        <w:spacing w:line="360" w:lineRule="auto"/>
        <w:ind w:left="720" w:hanging="720"/>
      </w:pPr>
      <w:r>
        <w:t>According to ISO/IEC 17025, a laboratory “shall have and shall apply procedures for est</w:t>
      </w:r>
      <w:r>
        <w:t xml:space="preserve">imating uncertainty of measurement.” (17025, 5.4.6.2)  </w:t>
      </w:r>
    </w:p>
    <w:p w:rsidR="00000000" w:rsidRDefault="00657A20" w:rsidP="00657A20">
      <w:pPr>
        <w:pStyle w:val="BodyTextIndent"/>
        <w:numPr>
          <w:ilvl w:val="1"/>
          <w:numId w:val="7"/>
        </w:numPr>
        <w:tabs>
          <w:tab w:val="clear" w:pos="900"/>
          <w:tab w:val="num" w:pos="720"/>
          <w:tab w:val="num" w:pos="1080"/>
        </w:tabs>
        <w:spacing w:line="360" w:lineRule="auto"/>
        <w:ind w:left="720" w:hanging="720"/>
      </w:pPr>
      <w:r>
        <w:t xml:space="preserve">Where appropriate, an estimation of uncertainty must be reported with the test result. (17025, 5.10.3.1c)  </w:t>
      </w:r>
    </w:p>
    <w:p w:rsidR="00000000" w:rsidRDefault="00657A20" w:rsidP="00657A20">
      <w:pPr>
        <w:pStyle w:val="BodyTextIndent"/>
        <w:numPr>
          <w:ilvl w:val="1"/>
          <w:numId w:val="7"/>
        </w:numPr>
        <w:tabs>
          <w:tab w:val="clear" w:pos="900"/>
          <w:tab w:val="num" w:pos="720"/>
          <w:tab w:val="num" w:pos="1080"/>
        </w:tabs>
        <w:spacing w:line="360" w:lineRule="auto"/>
        <w:ind w:left="720" w:hanging="720"/>
      </w:pPr>
      <w:r>
        <w:t>When estimating analytical measurement uncertainty, all significant components of uncertaint</w:t>
      </w:r>
      <w:r>
        <w:t>y must be identified and quantified. (17025, 5.4.6.3)</w:t>
      </w:r>
    </w:p>
    <w:p w:rsidR="00000000" w:rsidRDefault="00657A20" w:rsidP="00657A20">
      <w:pPr>
        <w:pStyle w:val="BodyTextIndent"/>
        <w:numPr>
          <w:ilvl w:val="1"/>
          <w:numId w:val="7"/>
        </w:numPr>
        <w:tabs>
          <w:tab w:val="clear" w:pos="900"/>
          <w:tab w:val="num" w:pos="720"/>
          <w:tab w:val="num" w:pos="1080"/>
        </w:tabs>
        <w:spacing w:line="360" w:lineRule="auto"/>
        <w:ind w:left="720" w:hanging="720"/>
      </w:pPr>
      <w:r>
        <w:t xml:space="preserve">Components that affect analytical measurement uncertainty include sampling, handling, transport, storage, preparation, and testing.  (17025, 5.4.1) </w:t>
      </w:r>
    </w:p>
    <w:p w:rsidR="00000000" w:rsidRDefault="00657A20" w:rsidP="00657A20">
      <w:pPr>
        <w:pStyle w:val="BodyTextIndent"/>
        <w:numPr>
          <w:ilvl w:val="1"/>
          <w:numId w:val="7"/>
        </w:numPr>
        <w:tabs>
          <w:tab w:val="clear" w:pos="900"/>
          <w:tab w:val="num" w:pos="720"/>
          <w:tab w:val="num" w:pos="1080"/>
        </w:tabs>
        <w:spacing w:line="360" w:lineRule="auto"/>
        <w:ind w:left="720" w:hanging="720"/>
      </w:pPr>
      <w:r>
        <w:t>Components of uncertainty that do not contribute sign</w:t>
      </w:r>
      <w:r>
        <w:t xml:space="preserve">ificantly to the total uncertainty of the test result can be neglected. (17025, 5.6.2.2.1) </w:t>
      </w:r>
    </w:p>
    <w:p w:rsidR="00000000" w:rsidRDefault="00657A20" w:rsidP="00657A20">
      <w:pPr>
        <w:pStyle w:val="BodyTextIndent"/>
        <w:numPr>
          <w:ilvl w:val="1"/>
          <w:numId w:val="7"/>
        </w:numPr>
        <w:tabs>
          <w:tab w:val="clear" w:pos="900"/>
          <w:tab w:val="num" w:pos="720"/>
          <w:tab w:val="num" w:pos="1080"/>
          <w:tab w:val="left" w:pos="2160"/>
        </w:tabs>
        <w:spacing w:line="360" w:lineRule="auto"/>
        <w:ind w:left="720" w:hanging="720"/>
      </w:pPr>
      <w:r>
        <w:t>Estimation of analytical measurement uncertainty is not required for qualitative tests with pass/fail or detect/non-detect results.  However, decision uncertainty m</w:t>
      </w:r>
      <w:r>
        <w:t xml:space="preserve">ay be required by estimating Type I and Type II errors.  Certain biological tests, spot tests, and immunoassay tests are included in this category. </w:t>
      </w:r>
    </w:p>
    <w:p w:rsidR="00000000" w:rsidRDefault="00657A20" w:rsidP="00657A20">
      <w:pPr>
        <w:pStyle w:val="BodyTextIndent"/>
        <w:numPr>
          <w:ilvl w:val="1"/>
          <w:numId w:val="7"/>
        </w:numPr>
        <w:tabs>
          <w:tab w:val="clear" w:pos="900"/>
          <w:tab w:val="num" w:pos="720"/>
          <w:tab w:val="num" w:pos="1080"/>
        </w:tabs>
        <w:spacing w:line="360" w:lineRule="auto"/>
        <w:ind w:left="720" w:hanging="720"/>
      </w:pPr>
      <w:r>
        <w:t>Estimation of analytical measurement uncertainty is not required for well-recognized quantitative test meth</w:t>
      </w:r>
      <w:r>
        <w:t xml:space="preserve">ods where the reference method specifies:  </w:t>
      </w:r>
    </w:p>
    <w:p w:rsidR="00000000" w:rsidRDefault="00657A20" w:rsidP="00657A20">
      <w:pPr>
        <w:pStyle w:val="BodyTextIndent"/>
        <w:numPr>
          <w:ilvl w:val="0"/>
          <w:numId w:val="8"/>
        </w:numPr>
        <w:tabs>
          <w:tab w:val="clear" w:pos="3600"/>
          <w:tab w:val="num" w:pos="720"/>
          <w:tab w:val="num" w:pos="1800"/>
        </w:tabs>
        <w:spacing w:line="360" w:lineRule="auto"/>
        <w:ind w:left="720" w:hanging="720"/>
      </w:pPr>
      <w:r>
        <w:t>bias and precision acceptance limits,</w:t>
      </w:r>
    </w:p>
    <w:p w:rsidR="00000000" w:rsidRDefault="00657A20" w:rsidP="00657A20">
      <w:pPr>
        <w:pStyle w:val="BodyTextIndent"/>
        <w:numPr>
          <w:ilvl w:val="0"/>
          <w:numId w:val="8"/>
        </w:numPr>
        <w:tabs>
          <w:tab w:val="clear" w:pos="3600"/>
          <w:tab w:val="num" w:pos="720"/>
          <w:tab w:val="num" w:pos="1080"/>
          <w:tab w:val="num" w:pos="1800"/>
        </w:tabs>
        <w:spacing w:line="360" w:lineRule="auto"/>
        <w:ind w:left="720" w:hanging="720"/>
      </w:pPr>
      <w:r>
        <w:t>form of presentation of the test result, and</w:t>
      </w:r>
    </w:p>
    <w:p w:rsidR="00000000" w:rsidRDefault="00657A20" w:rsidP="00657A20">
      <w:pPr>
        <w:pStyle w:val="BodyTextIndent"/>
        <w:numPr>
          <w:ilvl w:val="0"/>
          <w:numId w:val="8"/>
        </w:numPr>
        <w:tabs>
          <w:tab w:val="clear" w:pos="3600"/>
          <w:tab w:val="num" w:pos="720"/>
          <w:tab w:val="num" w:pos="1080"/>
          <w:tab w:val="num" w:pos="1800"/>
        </w:tabs>
        <w:spacing w:line="360" w:lineRule="auto"/>
        <w:ind w:left="720" w:hanging="720"/>
      </w:pPr>
      <w:r>
        <w:t xml:space="preserve">procedure for estimating analytical measurement uncertainty </w:t>
      </w:r>
    </w:p>
    <w:p w:rsidR="00000000" w:rsidRDefault="00657A20">
      <w:pPr>
        <w:pStyle w:val="BodyTextIndent"/>
        <w:tabs>
          <w:tab w:val="num" w:pos="720"/>
          <w:tab w:val="num" w:pos="1080"/>
        </w:tabs>
        <w:spacing w:line="360" w:lineRule="auto"/>
        <w:ind w:hanging="720"/>
      </w:pPr>
      <w:r>
        <w:tab/>
        <w:t xml:space="preserve">Certain methods with well-characterized uncertainties are included </w:t>
      </w:r>
      <w:r>
        <w:t>in this category</w:t>
      </w:r>
      <w:r>
        <w:rPr>
          <w:color w:val="FF0000"/>
        </w:rPr>
        <w:t xml:space="preserve"> </w:t>
      </w:r>
      <w:r>
        <w:t>(e.g., NIOSH 7400). (17025, 5.4.6.2 Note 2)</w:t>
      </w:r>
    </w:p>
    <w:p w:rsidR="00000000" w:rsidRDefault="00657A20" w:rsidP="00657A20">
      <w:pPr>
        <w:pStyle w:val="BodyTextIndent"/>
        <w:numPr>
          <w:ilvl w:val="1"/>
          <w:numId w:val="7"/>
        </w:numPr>
        <w:tabs>
          <w:tab w:val="clear" w:pos="900"/>
          <w:tab w:val="num" w:pos="720"/>
          <w:tab w:val="num" w:pos="1080"/>
        </w:tabs>
        <w:spacing w:line="360" w:lineRule="auto"/>
        <w:ind w:left="720" w:hanging="720"/>
      </w:pPr>
      <w:r>
        <w:t>Estimation of analytical measurement uncertainty is required for quantitative test methods where the estimation of uncertainty is not specified in the method.  The QC-based Nested Approach for Es</w:t>
      </w:r>
      <w:r>
        <w:t xml:space="preserve">timating Analytical Measurement Uncertainty Spreadsheet can be used to estimate analytical measurement uncertainty when Quality Control data is </w:t>
      </w:r>
      <w:r>
        <w:lastRenderedPageBreak/>
        <w:t>available.  Certain performance-based methods (published regulatory or consensus methods) are included in this c</w:t>
      </w:r>
      <w:r>
        <w:t>ategory.</w:t>
      </w:r>
    </w:p>
    <w:p w:rsidR="00000000" w:rsidRDefault="00657A20" w:rsidP="00657A20">
      <w:pPr>
        <w:pStyle w:val="BodyTextIndent"/>
        <w:numPr>
          <w:ilvl w:val="1"/>
          <w:numId w:val="7"/>
        </w:numPr>
        <w:tabs>
          <w:tab w:val="clear" w:pos="900"/>
          <w:tab w:val="num" w:pos="720"/>
          <w:tab w:val="num" w:pos="1080"/>
        </w:tabs>
        <w:spacing w:line="360" w:lineRule="auto"/>
        <w:ind w:left="720" w:hanging="720"/>
      </w:pPr>
      <w:r>
        <w:t xml:space="preserve">This SOP is for use by environmental testing laboratories in the development and implementation of their quality systems. </w:t>
      </w:r>
    </w:p>
    <w:p w:rsidR="00000000" w:rsidRDefault="00657A20" w:rsidP="00657A20">
      <w:pPr>
        <w:pStyle w:val="BodyTextIndent"/>
        <w:numPr>
          <w:ilvl w:val="1"/>
          <w:numId w:val="7"/>
        </w:numPr>
        <w:tabs>
          <w:tab w:val="clear" w:pos="900"/>
          <w:tab w:val="num" w:pos="720"/>
          <w:tab w:val="num" w:pos="1080"/>
        </w:tabs>
        <w:spacing w:line="360" w:lineRule="auto"/>
        <w:ind w:left="720" w:hanging="720"/>
      </w:pPr>
      <w:r>
        <w:t>To be recognized as competent for carrying out specific environmental tests, this SOP describes the requirements that a labo</w:t>
      </w:r>
      <w:r>
        <w:t xml:space="preserve">ratory must successfully demonstrate for the estimation of analytical measurement uncertainty. </w:t>
      </w:r>
    </w:p>
    <w:p w:rsidR="00000000" w:rsidRDefault="00657A20" w:rsidP="00657A20">
      <w:pPr>
        <w:pStyle w:val="BodyTextIndent"/>
        <w:numPr>
          <w:ilvl w:val="1"/>
          <w:numId w:val="7"/>
        </w:numPr>
        <w:tabs>
          <w:tab w:val="clear" w:pos="900"/>
          <w:tab w:val="num" w:pos="720"/>
          <w:tab w:val="num" w:pos="1080"/>
        </w:tabs>
        <w:spacing w:line="360" w:lineRule="auto"/>
        <w:ind w:left="720" w:hanging="720"/>
      </w:pPr>
      <w:r>
        <w:t>This SOP includes requirements and information for assessing competence, and for determining compliance by the organization or accrediting authority granting th</w:t>
      </w:r>
      <w:r>
        <w:t>e accreditation or approval.</w:t>
      </w:r>
    </w:p>
    <w:p w:rsidR="00000000" w:rsidRDefault="00657A20" w:rsidP="00657A20">
      <w:pPr>
        <w:pStyle w:val="BodyTextIndent"/>
        <w:numPr>
          <w:ilvl w:val="1"/>
          <w:numId w:val="7"/>
        </w:numPr>
        <w:tabs>
          <w:tab w:val="clear" w:pos="900"/>
          <w:tab w:val="num" w:pos="720"/>
          <w:tab w:val="num" w:pos="1080"/>
        </w:tabs>
        <w:spacing w:line="360" w:lineRule="auto"/>
        <w:ind w:left="720" w:hanging="720"/>
      </w:pPr>
      <w:r>
        <w:t>Accrediting authorities may use this SOP in assessing the competence of environmental laboratories.</w:t>
      </w:r>
    </w:p>
    <w:p w:rsidR="00000000" w:rsidRDefault="00657A20" w:rsidP="00657A20">
      <w:pPr>
        <w:pStyle w:val="BodyTextIndent"/>
        <w:numPr>
          <w:ilvl w:val="1"/>
          <w:numId w:val="7"/>
        </w:numPr>
        <w:tabs>
          <w:tab w:val="clear" w:pos="900"/>
          <w:tab w:val="num" w:pos="720"/>
          <w:tab w:val="num" w:pos="1080"/>
        </w:tabs>
        <w:spacing w:line="360" w:lineRule="auto"/>
        <w:ind w:left="720" w:hanging="720"/>
      </w:pPr>
      <w:r>
        <w:t>If more stringent standards or requirements are included in a mandated test method or by regulation, the laboratory shall demon</w:t>
      </w:r>
      <w:r>
        <w:t>strate that such requirements are met.</w:t>
      </w:r>
    </w:p>
    <w:p w:rsidR="00000000" w:rsidRDefault="00657A20" w:rsidP="00657A20">
      <w:pPr>
        <w:pStyle w:val="BodyTextIndent"/>
        <w:numPr>
          <w:ilvl w:val="1"/>
          <w:numId w:val="7"/>
        </w:numPr>
        <w:tabs>
          <w:tab w:val="clear" w:pos="900"/>
          <w:tab w:val="num" w:pos="720"/>
          <w:tab w:val="num" w:pos="1080"/>
        </w:tabs>
        <w:spacing w:line="360" w:lineRule="auto"/>
        <w:ind w:left="720" w:hanging="720"/>
      </w:pPr>
      <w:r>
        <w:t xml:space="preserve">If it is not clear which requirements are more stringent, the standard from the method or regulation must be followed. </w:t>
      </w:r>
    </w:p>
    <w:p w:rsidR="00000000" w:rsidRDefault="00657A20" w:rsidP="00657A20">
      <w:pPr>
        <w:pStyle w:val="Heading1"/>
        <w:numPr>
          <w:ilvl w:val="0"/>
          <w:numId w:val="7"/>
        </w:numPr>
        <w:tabs>
          <w:tab w:val="clear" w:pos="360"/>
          <w:tab w:val="num" w:pos="720"/>
        </w:tabs>
        <w:spacing w:line="360" w:lineRule="auto"/>
        <w:ind w:left="720" w:hanging="720"/>
        <w:rPr>
          <w:u w:val="none"/>
        </w:rPr>
      </w:pPr>
      <w:r>
        <w:rPr>
          <w:u w:val="none"/>
        </w:rPr>
        <w:t>PURPOSE</w:t>
      </w:r>
    </w:p>
    <w:p w:rsidR="00000000" w:rsidRDefault="00657A20" w:rsidP="00657A20">
      <w:pPr>
        <w:pStyle w:val="BodyTextIndent"/>
        <w:numPr>
          <w:ilvl w:val="1"/>
          <w:numId w:val="9"/>
        </w:numPr>
        <w:tabs>
          <w:tab w:val="clear" w:pos="900"/>
          <w:tab w:val="num" w:pos="720"/>
          <w:tab w:val="num" w:pos="1080"/>
        </w:tabs>
        <w:spacing w:line="360" w:lineRule="auto"/>
        <w:ind w:left="720" w:hanging="720"/>
      </w:pPr>
      <w:r>
        <w:t>The International Organization of Standardization (ISO) and the International Electrotech</w:t>
      </w:r>
      <w:r>
        <w:t xml:space="preserve">nical Commission (IEC) developed the ISO/IEC 17025 standard, </w:t>
      </w:r>
      <w:r>
        <w:rPr>
          <w:i/>
          <w:iCs/>
        </w:rPr>
        <w:t>General Requirements for the Competence of Testing and Calibration Laboratories,</w:t>
      </w:r>
      <w:r>
        <w:t xml:space="preserve"> December 1999.  A primary requirement in the standard is the estimation of analytical measurement uncertainty.  </w:t>
      </w:r>
    </w:p>
    <w:p w:rsidR="00000000" w:rsidRDefault="00657A20" w:rsidP="00657A20">
      <w:pPr>
        <w:pStyle w:val="BodyTextIndent"/>
        <w:numPr>
          <w:ilvl w:val="1"/>
          <w:numId w:val="9"/>
        </w:numPr>
        <w:tabs>
          <w:tab w:val="clear" w:pos="900"/>
          <w:tab w:val="num" w:pos="720"/>
          <w:tab w:val="num" w:pos="1080"/>
        </w:tabs>
        <w:spacing w:line="360" w:lineRule="auto"/>
        <w:ind w:left="720" w:hanging="720"/>
      </w:pPr>
      <w:r>
        <w:t>T</w:t>
      </w:r>
      <w:r>
        <w:t>his Standard Operating Procedure (SOP) describes the rationale and methodology for estimating analytical measurement uncertainty using the Quality Control-based Nested Approach for Estimating Analytical Measurement Uncertainty Spreadsheet.  Other approache</w:t>
      </w:r>
      <w:r>
        <w:t xml:space="preserve">s that meet the requirements of ISO/IEC 170215 may also be used to estimate analytical measurement uncertainty. </w:t>
      </w:r>
    </w:p>
    <w:p w:rsidR="00000000" w:rsidRDefault="00657A20" w:rsidP="00657A20">
      <w:pPr>
        <w:pStyle w:val="BodyTextIndent"/>
        <w:numPr>
          <w:ilvl w:val="1"/>
          <w:numId w:val="9"/>
        </w:numPr>
        <w:tabs>
          <w:tab w:val="clear" w:pos="900"/>
          <w:tab w:val="num" w:pos="720"/>
          <w:tab w:val="num" w:pos="1080"/>
        </w:tabs>
        <w:spacing w:line="360" w:lineRule="auto"/>
        <w:ind w:left="720" w:hanging="720"/>
        <w:rPr>
          <w:u w:val="single"/>
        </w:rPr>
      </w:pPr>
      <w:r>
        <w:t xml:space="preserve">The estimation of analytical measurement uncertainty is formalized in the </w:t>
      </w:r>
      <w:r>
        <w:rPr>
          <w:i/>
          <w:iCs/>
        </w:rPr>
        <w:t>U.S. Guide to the Expression of Uncertainty in Measurement</w:t>
      </w:r>
      <w:r>
        <w:t>, (US GUM),</w:t>
      </w:r>
      <w:r>
        <w:t xml:space="preserve"> published by American National Standards Institute (ANSI) in 1997.  The US GUM is the ANSI adoption of the ISO </w:t>
      </w:r>
      <w:r>
        <w:rPr>
          <w:i/>
          <w:iCs/>
        </w:rPr>
        <w:t xml:space="preserve">Guide to the Expression of Uncertainty in Measurement </w:t>
      </w:r>
      <w:r>
        <w:t xml:space="preserve">(GUM), published in 1993, </w:t>
      </w:r>
      <w:r>
        <w:lastRenderedPageBreak/>
        <w:t>and it establishes general rules to evaluate and express uncerta</w:t>
      </w:r>
      <w:r>
        <w:t xml:space="preserve">inty for quantitative analytical measurements. </w:t>
      </w:r>
    </w:p>
    <w:p w:rsidR="00000000" w:rsidRDefault="00657A20" w:rsidP="00657A20">
      <w:pPr>
        <w:pStyle w:val="BodyTextIndent"/>
        <w:numPr>
          <w:ilvl w:val="1"/>
          <w:numId w:val="9"/>
        </w:numPr>
        <w:tabs>
          <w:tab w:val="clear" w:pos="900"/>
          <w:tab w:val="num" w:pos="720"/>
          <w:tab w:val="num" w:pos="1080"/>
        </w:tabs>
        <w:spacing w:line="360" w:lineRule="auto"/>
        <w:ind w:left="720" w:hanging="720"/>
        <w:rPr>
          <w:u w:val="single"/>
        </w:rPr>
      </w:pPr>
      <w:r>
        <w:t>The general rules outline the process for identifying components of uncertainty, quantifying component standard uncertainty, combining standard uncertainties, expanding combined uncertainty, and reporting unc</w:t>
      </w:r>
      <w:r>
        <w:t xml:space="preserve">ertainty.  </w:t>
      </w:r>
    </w:p>
    <w:p w:rsidR="00000000" w:rsidRDefault="00657A20" w:rsidP="00657A20">
      <w:pPr>
        <w:pStyle w:val="BodyTextIndent"/>
        <w:numPr>
          <w:ilvl w:val="1"/>
          <w:numId w:val="9"/>
        </w:numPr>
        <w:tabs>
          <w:tab w:val="clear" w:pos="900"/>
          <w:tab w:val="num" w:pos="720"/>
          <w:tab w:val="num" w:pos="1080"/>
        </w:tabs>
        <w:spacing w:line="360" w:lineRule="auto"/>
        <w:ind w:left="720" w:hanging="720"/>
      </w:pPr>
      <w:r>
        <w:t xml:space="preserve">The QC-based Nested Approach for Estimating Analytical Measurement Uncertainty Spreadsheet was developed to automate estimation of analytical measurement uncertainty.  </w:t>
      </w:r>
    </w:p>
    <w:p w:rsidR="00000000" w:rsidRDefault="00657A20" w:rsidP="00657A20">
      <w:pPr>
        <w:pStyle w:val="BodyTextIndent"/>
        <w:numPr>
          <w:ilvl w:val="1"/>
          <w:numId w:val="9"/>
        </w:numPr>
        <w:tabs>
          <w:tab w:val="clear" w:pos="900"/>
          <w:tab w:val="num" w:pos="720"/>
          <w:tab w:val="num" w:pos="1080"/>
        </w:tabs>
        <w:spacing w:line="360" w:lineRule="auto"/>
        <w:ind w:left="720" w:hanging="720"/>
      </w:pPr>
      <w:r>
        <w:t>Laboratory-generated quality control data is used to populate a Microsoft E</w:t>
      </w:r>
      <w:r>
        <w:t>xcel spreadsheet that automatically partitions sources of uncertainty, quantifies uncertainty for each component, and calculates the expanded uncertainty with optional bias correction.  A histogram is generated to identify significant and negligible source</w:t>
      </w:r>
      <w:r>
        <w:t xml:space="preserve">s of uncertainty.  </w:t>
      </w:r>
    </w:p>
    <w:p w:rsidR="00000000" w:rsidRDefault="00657A20" w:rsidP="00657A20">
      <w:pPr>
        <w:pStyle w:val="BodyTextIndent"/>
        <w:numPr>
          <w:ilvl w:val="0"/>
          <w:numId w:val="9"/>
        </w:numPr>
        <w:tabs>
          <w:tab w:val="clear" w:pos="360"/>
          <w:tab w:val="num" w:pos="720"/>
          <w:tab w:val="num" w:pos="1080"/>
        </w:tabs>
        <w:spacing w:line="360" w:lineRule="auto"/>
        <w:ind w:left="720" w:hanging="720"/>
        <w:rPr>
          <w:b/>
          <w:bCs/>
        </w:rPr>
      </w:pPr>
      <w:r>
        <w:rPr>
          <w:b/>
          <w:bCs/>
        </w:rPr>
        <w:t>SUMMARY OF METHOD</w:t>
      </w:r>
    </w:p>
    <w:p w:rsidR="00000000" w:rsidRDefault="00657A20" w:rsidP="00657A20">
      <w:pPr>
        <w:pStyle w:val="BodyTextIndent"/>
        <w:numPr>
          <w:ilvl w:val="1"/>
          <w:numId w:val="9"/>
        </w:numPr>
        <w:tabs>
          <w:tab w:val="clear" w:pos="900"/>
          <w:tab w:val="num" w:pos="720"/>
          <w:tab w:val="num" w:pos="1080"/>
        </w:tabs>
        <w:spacing w:line="360" w:lineRule="auto"/>
        <w:ind w:left="720" w:hanging="720"/>
      </w:pPr>
      <w:r>
        <w:t>The concept of analytical measurement uncertainty is widely recognized among analytical chemists.  Replicate preparation and testing of a sample generates a range of results.  This variability of results represents the</w:t>
      </w:r>
      <w:r>
        <w:t xml:space="preserve"> analytical measurement uncertainty.  </w:t>
      </w:r>
    </w:p>
    <w:p w:rsidR="00000000" w:rsidRDefault="00657A20" w:rsidP="00657A20">
      <w:pPr>
        <w:pStyle w:val="BodyTextIndent"/>
        <w:numPr>
          <w:ilvl w:val="1"/>
          <w:numId w:val="9"/>
        </w:numPr>
        <w:tabs>
          <w:tab w:val="clear" w:pos="900"/>
          <w:tab w:val="num" w:pos="720"/>
          <w:tab w:val="num" w:pos="1080"/>
        </w:tabs>
        <w:spacing w:line="360" w:lineRule="auto"/>
        <w:ind w:left="720" w:hanging="720"/>
      </w:pPr>
      <w:r>
        <w:t>Samples are routinely prepared and tested only once and replicate preparation and testing of environmental samples is not practical.  However, any rigorous statistical determination of uncertainty based on a single te</w:t>
      </w:r>
      <w:r>
        <w:t xml:space="preserve">st measurement is not possible.  “There is no statistical basis for a confidence level statement of one measurement unless supported by a control chart or other evidence of statistical control.” (Taylor, J.K., 28) </w:t>
      </w:r>
    </w:p>
    <w:p w:rsidR="00000000" w:rsidRDefault="00657A20" w:rsidP="00657A20">
      <w:pPr>
        <w:pStyle w:val="BodyTextIndent"/>
        <w:numPr>
          <w:ilvl w:val="1"/>
          <w:numId w:val="9"/>
        </w:numPr>
        <w:tabs>
          <w:tab w:val="clear" w:pos="900"/>
          <w:tab w:val="num" w:pos="720"/>
          <w:tab w:val="num" w:pos="1080"/>
        </w:tabs>
        <w:spacing w:line="360" w:lineRule="auto"/>
        <w:ind w:left="720" w:hanging="720"/>
      </w:pPr>
      <w:r>
        <w:t>Readily available laboratory Quality Cont</w:t>
      </w:r>
      <w:r>
        <w:t xml:space="preserve">rol Chart data can be used to estimate the analytical measurement uncertainty for single test results.  Using the laboratory generated Quality Control Limits, a mathematical model can be constructed to systematically “back-out” component uncertainties.  </w:t>
      </w:r>
    </w:p>
    <w:p w:rsidR="00000000" w:rsidRDefault="00657A20" w:rsidP="00657A20">
      <w:pPr>
        <w:pStyle w:val="BodyTextIndent"/>
        <w:numPr>
          <w:ilvl w:val="1"/>
          <w:numId w:val="9"/>
        </w:numPr>
        <w:tabs>
          <w:tab w:val="clear" w:pos="900"/>
          <w:tab w:val="num" w:pos="720"/>
          <w:tab w:val="left" w:pos="1080"/>
        </w:tabs>
        <w:spacing w:line="360" w:lineRule="auto"/>
        <w:ind w:left="720" w:hanging="720"/>
      </w:pPr>
      <w:r>
        <w:t>T</w:t>
      </w:r>
      <w:r>
        <w:t>he steps for estimating uncertainty are incorporated into the following conceptual algorithm:</w:t>
      </w:r>
    </w:p>
    <w:p w:rsidR="00000000" w:rsidRDefault="00657A20" w:rsidP="00657A20">
      <w:pPr>
        <w:numPr>
          <w:ilvl w:val="0"/>
          <w:numId w:val="1"/>
        </w:numPr>
        <w:tabs>
          <w:tab w:val="left" w:pos="1080"/>
          <w:tab w:val="num" w:pos="1800"/>
        </w:tabs>
        <w:spacing w:line="360" w:lineRule="auto"/>
        <w:ind w:hanging="720"/>
        <w:rPr>
          <w:sz w:val="24"/>
        </w:rPr>
      </w:pPr>
      <w:r>
        <w:rPr>
          <w:sz w:val="24"/>
        </w:rPr>
        <w:t>Specify the analyte of interest that is to be quantified</w:t>
      </w:r>
    </w:p>
    <w:p w:rsidR="00000000" w:rsidRDefault="00657A20" w:rsidP="00657A20">
      <w:pPr>
        <w:numPr>
          <w:ilvl w:val="0"/>
          <w:numId w:val="1"/>
        </w:numPr>
        <w:tabs>
          <w:tab w:val="left" w:pos="1080"/>
          <w:tab w:val="num" w:pos="1800"/>
        </w:tabs>
        <w:spacing w:line="360" w:lineRule="auto"/>
        <w:ind w:hanging="720"/>
        <w:rPr>
          <w:sz w:val="24"/>
        </w:rPr>
      </w:pPr>
      <w:r>
        <w:rPr>
          <w:sz w:val="24"/>
        </w:rPr>
        <w:t>Identify the sources of analytical measurement uncertainty</w:t>
      </w:r>
    </w:p>
    <w:p w:rsidR="00000000" w:rsidRDefault="00657A20" w:rsidP="00657A20">
      <w:pPr>
        <w:numPr>
          <w:ilvl w:val="0"/>
          <w:numId w:val="1"/>
        </w:numPr>
        <w:tabs>
          <w:tab w:val="left" w:pos="1080"/>
          <w:tab w:val="num" w:pos="1800"/>
        </w:tabs>
        <w:spacing w:line="360" w:lineRule="auto"/>
        <w:ind w:hanging="720"/>
        <w:rPr>
          <w:sz w:val="24"/>
        </w:rPr>
      </w:pPr>
      <w:r>
        <w:rPr>
          <w:sz w:val="24"/>
        </w:rPr>
        <w:t>Quantify the components of analytical measurem</w:t>
      </w:r>
      <w:r>
        <w:rPr>
          <w:sz w:val="24"/>
        </w:rPr>
        <w:t>ent uncertainty</w:t>
      </w:r>
    </w:p>
    <w:p w:rsidR="00000000" w:rsidRDefault="00657A20" w:rsidP="00657A20">
      <w:pPr>
        <w:numPr>
          <w:ilvl w:val="0"/>
          <w:numId w:val="3"/>
        </w:numPr>
        <w:tabs>
          <w:tab w:val="clear" w:pos="1440"/>
          <w:tab w:val="num" w:pos="720"/>
          <w:tab w:val="left" w:pos="1080"/>
          <w:tab w:val="num" w:pos="1800"/>
        </w:tabs>
        <w:spacing w:line="360" w:lineRule="auto"/>
        <w:ind w:left="720" w:hanging="720"/>
      </w:pPr>
      <w:r>
        <w:rPr>
          <w:sz w:val="24"/>
        </w:rPr>
        <w:t>Calculate the combined and expanded analytical measurement uncertainty</w:t>
      </w:r>
    </w:p>
    <w:p w:rsidR="00000000" w:rsidRDefault="00657A20" w:rsidP="00657A20">
      <w:pPr>
        <w:pStyle w:val="BodyTextIndent"/>
        <w:numPr>
          <w:ilvl w:val="1"/>
          <w:numId w:val="9"/>
        </w:numPr>
        <w:tabs>
          <w:tab w:val="clear" w:pos="900"/>
          <w:tab w:val="num" w:pos="720"/>
          <w:tab w:val="left" w:pos="1080"/>
        </w:tabs>
        <w:spacing w:line="360" w:lineRule="auto"/>
        <w:ind w:left="720" w:hanging="720"/>
      </w:pPr>
      <w:r>
        <w:lastRenderedPageBreak/>
        <w:t>The first step is to state what is to be quantified (the analyte of interest).  A summary of the chemical preparation and testing methods is included.</w:t>
      </w:r>
    </w:p>
    <w:p w:rsidR="00000000" w:rsidRDefault="00657A20" w:rsidP="00657A20">
      <w:pPr>
        <w:pStyle w:val="BodyTextIndent"/>
        <w:numPr>
          <w:ilvl w:val="1"/>
          <w:numId w:val="9"/>
        </w:numPr>
        <w:tabs>
          <w:tab w:val="clear" w:pos="900"/>
          <w:tab w:val="num" w:pos="720"/>
          <w:tab w:val="left" w:pos="1080"/>
        </w:tabs>
        <w:spacing w:line="360" w:lineRule="auto"/>
        <w:ind w:left="720" w:hanging="720"/>
      </w:pPr>
      <w:r>
        <w:t>The second step is</w:t>
      </w:r>
      <w:r>
        <w:t xml:space="preserve"> to identify the sources of analytical measurement variability or uncertainty.  The sources of uncertainty can be partitioned into the following general components:</w:t>
      </w:r>
    </w:p>
    <w:p w:rsidR="00000000" w:rsidRDefault="00657A20" w:rsidP="00657A20">
      <w:pPr>
        <w:numPr>
          <w:ilvl w:val="1"/>
          <w:numId w:val="2"/>
        </w:numPr>
        <w:tabs>
          <w:tab w:val="clear" w:pos="1440"/>
          <w:tab w:val="num" w:pos="720"/>
          <w:tab w:val="left" w:pos="1080"/>
          <w:tab w:val="num" w:pos="1800"/>
        </w:tabs>
        <w:spacing w:line="360" w:lineRule="auto"/>
        <w:ind w:left="720" w:hanging="720"/>
        <w:rPr>
          <w:sz w:val="24"/>
        </w:rPr>
      </w:pPr>
      <w:r>
        <w:rPr>
          <w:sz w:val="24"/>
        </w:rPr>
        <w:t>Large-scale site population variability</w:t>
      </w:r>
    </w:p>
    <w:p w:rsidR="00000000" w:rsidRDefault="00657A20" w:rsidP="00657A20">
      <w:pPr>
        <w:numPr>
          <w:ilvl w:val="1"/>
          <w:numId w:val="2"/>
        </w:numPr>
        <w:tabs>
          <w:tab w:val="clear" w:pos="1440"/>
          <w:tab w:val="num" w:pos="720"/>
          <w:tab w:val="left" w:pos="1080"/>
          <w:tab w:val="num" w:pos="1800"/>
        </w:tabs>
        <w:spacing w:line="360" w:lineRule="auto"/>
        <w:ind w:left="720" w:hanging="720"/>
        <w:rPr>
          <w:sz w:val="24"/>
        </w:rPr>
      </w:pPr>
      <w:r>
        <w:rPr>
          <w:sz w:val="24"/>
        </w:rPr>
        <w:t xml:space="preserve">Small-scale sample location variability </w:t>
      </w:r>
    </w:p>
    <w:p w:rsidR="00000000" w:rsidRDefault="00657A20" w:rsidP="00657A20">
      <w:pPr>
        <w:numPr>
          <w:ilvl w:val="1"/>
          <w:numId w:val="2"/>
        </w:numPr>
        <w:tabs>
          <w:tab w:val="clear" w:pos="1440"/>
          <w:tab w:val="num" w:pos="720"/>
          <w:tab w:val="left" w:pos="1080"/>
          <w:tab w:val="num" w:pos="1800"/>
        </w:tabs>
        <w:spacing w:line="360" w:lineRule="auto"/>
        <w:ind w:left="720" w:hanging="720"/>
        <w:rPr>
          <w:sz w:val="24"/>
        </w:rPr>
      </w:pPr>
      <w:r>
        <w:rPr>
          <w:sz w:val="24"/>
        </w:rPr>
        <w:t>Field samp</w:t>
      </w:r>
      <w:r>
        <w:rPr>
          <w:sz w:val="24"/>
        </w:rPr>
        <w:t>ling and laboratory subsampling variability</w:t>
      </w:r>
    </w:p>
    <w:p w:rsidR="00000000" w:rsidRDefault="00657A20" w:rsidP="00657A20">
      <w:pPr>
        <w:numPr>
          <w:ilvl w:val="1"/>
          <w:numId w:val="2"/>
        </w:numPr>
        <w:tabs>
          <w:tab w:val="clear" w:pos="1440"/>
          <w:tab w:val="num" w:pos="720"/>
          <w:tab w:val="left" w:pos="1080"/>
          <w:tab w:val="num" w:pos="1800"/>
        </w:tabs>
        <w:spacing w:line="360" w:lineRule="auto"/>
        <w:ind w:left="720" w:hanging="720"/>
        <w:rPr>
          <w:sz w:val="24"/>
        </w:rPr>
      </w:pPr>
      <w:r>
        <w:rPr>
          <w:sz w:val="24"/>
        </w:rPr>
        <w:t>Sample chemical preparation variability</w:t>
      </w:r>
    </w:p>
    <w:p w:rsidR="00000000" w:rsidRDefault="00657A20" w:rsidP="00657A20">
      <w:pPr>
        <w:numPr>
          <w:ilvl w:val="0"/>
          <w:numId w:val="3"/>
        </w:numPr>
        <w:tabs>
          <w:tab w:val="clear" w:pos="1440"/>
          <w:tab w:val="num" w:pos="720"/>
          <w:tab w:val="left" w:pos="1080"/>
          <w:tab w:val="num" w:pos="1800"/>
        </w:tabs>
        <w:spacing w:line="360" w:lineRule="auto"/>
        <w:ind w:left="720" w:hanging="720"/>
      </w:pPr>
      <w:r>
        <w:rPr>
          <w:sz w:val="24"/>
        </w:rPr>
        <w:t xml:space="preserve">Sample test measurement variability </w:t>
      </w:r>
    </w:p>
    <w:p w:rsidR="00000000" w:rsidRDefault="00657A20">
      <w:pPr>
        <w:pStyle w:val="BodyTextIndent3"/>
        <w:tabs>
          <w:tab w:val="num" w:pos="720"/>
          <w:tab w:val="left" w:pos="1080"/>
        </w:tabs>
        <w:spacing w:line="360" w:lineRule="auto"/>
        <w:ind w:left="720" w:hanging="720"/>
      </w:pPr>
      <w:r>
        <w:tab/>
        <w:t xml:space="preserve">An Uncertainty Budget can be developed to tabulate analytical measurement uncertainty. </w:t>
      </w:r>
    </w:p>
    <w:p w:rsidR="00000000" w:rsidRDefault="00657A20" w:rsidP="00657A20">
      <w:pPr>
        <w:pStyle w:val="BodyTextIndent"/>
        <w:numPr>
          <w:ilvl w:val="1"/>
          <w:numId w:val="9"/>
        </w:numPr>
        <w:tabs>
          <w:tab w:val="clear" w:pos="900"/>
          <w:tab w:val="num" w:pos="720"/>
          <w:tab w:val="left" w:pos="1080"/>
        </w:tabs>
        <w:spacing w:line="360" w:lineRule="auto"/>
        <w:ind w:left="720" w:hanging="720"/>
      </w:pPr>
      <w:r>
        <w:t>The third step is to quantify the components o</w:t>
      </w:r>
      <w:r>
        <w:t>f analytical measurement uncertainty.  A frequent approach to evaluating and expressing uncertainty of a measurement is the use of the statistical concept of the confidence interval.  The confidence interval is the range of results that reasonably captures</w:t>
      </w:r>
      <w:r>
        <w:t xml:space="preserve"> the analyte concentration with a specified probability.  When the confidence interval is constructed by the statistical analysis of replicate results, the approach is a Type A evaluation of standard uncertainty (US GUM, Section 4.2).  When the confidence </w:t>
      </w:r>
      <w:r>
        <w:t xml:space="preserve">interval is not constructed by statistical analysis of replicate results, the approach is a Type B evaluation of standard uncertainty (US GUM, Section 4.3).  </w:t>
      </w:r>
    </w:p>
    <w:p w:rsidR="00000000" w:rsidRDefault="00657A20" w:rsidP="00657A20">
      <w:pPr>
        <w:pStyle w:val="BodyTextIndent"/>
        <w:numPr>
          <w:ilvl w:val="1"/>
          <w:numId w:val="9"/>
        </w:numPr>
        <w:tabs>
          <w:tab w:val="clear" w:pos="900"/>
          <w:tab w:val="num" w:pos="720"/>
          <w:tab w:val="left" w:pos="1080"/>
        </w:tabs>
        <w:spacing w:line="360" w:lineRule="auto"/>
        <w:ind w:left="720" w:hanging="720"/>
      </w:pPr>
      <w:r>
        <w:t>For statistical analysis (Type A evaluation), the standard deviation is calculated for the percen</w:t>
      </w:r>
      <w:r>
        <w:t xml:space="preserve">t deviation (relative bias) for each quality control standard or sample.  The standard deviation of analytical measurement results represents the standard uncertainty. </w:t>
      </w:r>
    </w:p>
    <w:p w:rsidR="00000000" w:rsidRDefault="00657A20" w:rsidP="00657A20">
      <w:pPr>
        <w:pStyle w:val="BodyTextIndent"/>
        <w:numPr>
          <w:ilvl w:val="1"/>
          <w:numId w:val="9"/>
        </w:numPr>
        <w:tabs>
          <w:tab w:val="clear" w:pos="900"/>
          <w:tab w:val="num" w:pos="720"/>
          <w:tab w:val="left" w:pos="1080"/>
        </w:tabs>
        <w:spacing w:line="360" w:lineRule="auto"/>
        <w:ind w:left="720" w:hanging="720"/>
      </w:pPr>
      <w:r>
        <w:t>The fourth step is to combine the individual uncertainties and then apply a “coverage f</w:t>
      </w:r>
      <w:r>
        <w:t>actor” which is chosen on the basis of the desired level of confidence to be associated with the interval around the measurement.  Coverage factors are usually 2 or 3, corresponding to intervals with levels of confidence of approximately 95% and 99%, respe</w:t>
      </w:r>
      <w:r>
        <w:t xml:space="preserve">ctively.  </w:t>
      </w:r>
    </w:p>
    <w:p w:rsidR="00000000" w:rsidRDefault="00657A20" w:rsidP="00657A20">
      <w:pPr>
        <w:pStyle w:val="BodyTextIndent"/>
        <w:numPr>
          <w:ilvl w:val="0"/>
          <w:numId w:val="9"/>
        </w:numPr>
        <w:tabs>
          <w:tab w:val="clear" w:pos="360"/>
          <w:tab w:val="num" w:pos="720"/>
          <w:tab w:val="left" w:pos="1080"/>
        </w:tabs>
        <w:spacing w:line="360" w:lineRule="auto"/>
        <w:ind w:left="720" w:hanging="720"/>
        <w:rPr>
          <w:b/>
          <w:bCs/>
        </w:rPr>
      </w:pPr>
      <w:r>
        <w:rPr>
          <w:b/>
          <w:bCs/>
        </w:rPr>
        <w:t>DEFINITIONS</w:t>
      </w:r>
    </w:p>
    <w:p w:rsidR="00000000" w:rsidRDefault="00657A20" w:rsidP="00657A20">
      <w:pPr>
        <w:pStyle w:val="BodyTextIndent"/>
        <w:numPr>
          <w:ilvl w:val="1"/>
          <w:numId w:val="9"/>
        </w:numPr>
        <w:tabs>
          <w:tab w:val="clear" w:pos="900"/>
          <w:tab w:val="num" w:pos="720"/>
          <w:tab w:val="left" w:pos="1080"/>
          <w:tab w:val="num" w:pos="1170"/>
        </w:tabs>
        <w:spacing w:line="360" w:lineRule="auto"/>
        <w:ind w:left="720" w:hanging="720"/>
      </w:pPr>
      <w:r>
        <w:t>Acceptance limits are data quality limits specified by the test method or generated by the laboratory.</w:t>
      </w:r>
    </w:p>
    <w:p w:rsidR="00000000" w:rsidRDefault="00657A20" w:rsidP="00657A20">
      <w:pPr>
        <w:pStyle w:val="BodyTextIndent"/>
        <w:numPr>
          <w:ilvl w:val="1"/>
          <w:numId w:val="9"/>
        </w:numPr>
        <w:tabs>
          <w:tab w:val="clear" w:pos="900"/>
          <w:tab w:val="num" w:pos="720"/>
          <w:tab w:val="left" w:pos="1080"/>
          <w:tab w:val="num" w:pos="1170"/>
        </w:tabs>
        <w:spacing w:line="360" w:lineRule="auto"/>
        <w:ind w:left="720" w:hanging="720"/>
      </w:pPr>
      <w:r>
        <w:lastRenderedPageBreak/>
        <w:t>Accuracy is the agreement of a single analytical measurement result to a reference value.  Accuracy is a combination of random and</w:t>
      </w:r>
      <w:r>
        <w:t xml:space="preserve"> systematic components.  Random components affect the precision of the test result and systematic components affect the bias of the test result.  See bias and precision.  </w:t>
      </w:r>
    </w:p>
    <w:p w:rsidR="00000000" w:rsidRDefault="00657A20" w:rsidP="00657A20">
      <w:pPr>
        <w:pStyle w:val="BodyTextIndent"/>
        <w:numPr>
          <w:ilvl w:val="1"/>
          <w:numId w:val="9"/>
        </w:numPr>
        <w:tabs>
          <w:tab w:val="clear" w:pos="900"/>
          <w:tab w:val="num" w:pos="720"/>
          <w:tab w:val="left" w:pos="1080"/>
          <w:tab w:val="num" w:pos="1170"/>
        </w:tabs>
        <w:spacing w:line="360" w:lineRule="auto"/>
        <w:ind w:left="720" w:hanging="720"/>
      </w:pPr>
      <w:r>
        <w:t>“Backing-out” is the rearrangement of the “square root-of-the-sum-of-the-squares” eq</w:t>
      </w:r>
      <w:r>
        <w:t>uation to solve for an unknown component standard uncertainty.</w:t>
      </w:r>
    </w:p>
    <w:p w:rsidR="00000000" w:rsidRDefault="00657A20" w:rsidP="00657A20">
      <w:pPr>
        <w:pStyle w:val="BodyTextIndent"/>
        <w:numPr>
          <w:ilvl w:val="1"/>
          <w:numId w:val="9"/>
        </w:numPr>
        <w:tabs>
          <w:tab w:val="clear" w:pos="900"/>
          <w:tab w:val="num" w:pos="720"/>
          <w:tab w:val="left" w:pos="1080"/>
          <w:tab w:val="num" w:pos="1170"/>
        </w:tabs>
        <w:spacing w:line="360" w:lineRule="auto"/>
        <w:ind w:left="720" w:hanging="720"/>
      </w:pPr>
      <w:r>
        <w:t>Bias is the deviation of the mean of replicate analytical measurements from a reference analyte concentration. Relative bias is represented by analytical measurement mean minus the reference an</w:t>
      </w:r>
      <w:r>
        <w:t xml:space="preserve">alyte concentration and the difference divided by the reference analyte concentration. See accuracy and precision. </w:t>
      </w:r>
    </w:p>
    <w:p w:rsidR="00000000" w:rsidRDefault="00657A20" w:rsidP="00657A20">
      <w:pPr>
        <w:pStyle w:val="BodyTextIndent"/>
        <w:numPr>
          <w:ilvl w:val="1"/>
          <w:numId w:val="9"/>
        </w:numPr>
        <w:tabs>
          <w:tab w:val="clear" w:pos="900"/>
          <w:tab w:val="num" w:pos="720"/>
          <w:tab w:val="left" w:pos="1080"/>
          <w:tab w:val="num" w:pos="1170"/>
        </w:tabs>
        <w:spacing w:line="360" w:lineRule="auto"/>
        <w:ind w:left="720" w:hanging="720"/>
      </w:pPr>
      <w:r>
        <w:t>Combined standard uncertainty is the standard uncertainty of the analytical measurement result that is the sum in quadrature (square-root-of</w:t>
      </w:r>
      <w:r>
        <w:t>-the-sum-of-the-squares) of the component standard uncertainties.</w:t>
      </w:r>
    </w:p>
    <w:p w:rsidR="00000000" w:rsidRDefault="00657A20" w:rsidP="00657A20">
      <w:pPr>
        <w:pStyle w:val="BodyTextIndent"/>
        <w:numPr>
          <w:ilvl w:val="1"/>
          <w:numId w:val="9"/>
        </w:numPr>
        <w:tabs>
          <w:tab w:val="clear" w:pos="900"/>
          <w:tab w:val="num" w:pos="720"/>
          <w:tab w:val="left" w:pos="1080"/>
          <w:tab w:val="num" w:pos="1170"/>
        </w:tabs>
        <w:spacing w:line="360" w:lineRule="auto"/>
        <w:ind w:left="720" w:hanging="720"/>
      </w:pPr>
      <w:r>
        <w:t xml:space="preserve">Coverage factor is the numerical factor used as a multiplier of the combined standard uncertainty to expand the uncertainty corresponding to a specific level of confidence.  The Student’s </w:t>
      </w:r>
      <w:r>
        <w:rPr>
          <w:i/>
          <w:iCs/>
        </w:rPr>
        <w:t>t</w:t>
      </w:r>
      <w:r>
        <w:t>-</w:t>
      </w:r>
      <w:r>
        <w:t>distribution is used for determining the coverage factor.</w:t>
      </w:r>
    </w:p>
    <w:p w:rsidR="00000000" w:rsidRDefault="00657A20" w:rsidP="00657A20">
      <w:pPr>
        <w:pStyle w:val="BodyTextIndent"/>
        <w:numPr>
          <w:ilvl w:val="1"/>
          <w:numId w:val="9"/>
        </w:numPr>
        <w:tabs>
          <w:tab w:val="clear" w:pos="900"/>
          <w:tab w:val="num" w:pos="720"/>
          <w:tab w:val="left" w:pos="1080"/>
          <w:tab w:val="num" w:pos="1170"/>
        </w:tabs>
        <w:spacing w:line="360" w:lineRule="auto"/>
        <w:ind w:left="720" w:hanging="720"/>
      </w:pPr>
      <w:r>
        <w:t>Duplicate samples are two samples taken from the same population and carried through certain stages of sampling and testing.  Duplicate sample include field co-located duplicate samples, field-split</w:t>
      </w:r>
      <w:r>
        <w:t xml:space="preserve"> duplicate samples, and laboratory duplicate subsamples. </w:t>
      </w:r>
    </w:p>
    <w:p w:rsidR="00000000" w:rsidRDefault="00657A20" w:rsidP="00657A20">
      <w:pPr>
        <w:pStyle w:val="BodyTextIndent"/>
        <w:numPr>
          <w:ilvl w:val="1"/>
          <w:numId w:val="9"/>
        </w:numPr>
        <w:tabs>
          <w:tab w:val="clear" w:pos="900"/>
          <w:tab w:val="num" w:pos="720"/>
          <w:tab w:val="left" w:pos="1080"/>
          <w:tab w:val="num" w:pos="1170"/>
        </w:tabs>
        <w:spacing w:line="360" w:lineRule="auto"/>
        <w:ind w:left="720" w:hanging="720"/>
      </w:pPr>
      <w:r>
        <w:t>Expanded uncertainty is the quantity defining an interval enveloping the analytical measurement that captures a large fraction of the distribution of analyte concentrations that could be attributabl</w:t>
      </w:r>
      <w:r>
        <w:t>e to the quantity measured.   The combined standard uncertainty is multiplied by the coverage factor to calculate the expanded uncertainty.</w:t>
      </w:r>
    </w:p>
    <w:p w:rsidR="00000000" w:rsidRDefault="00657A20" w:rsidP="00657A20">
      <w:pPr>
        <w:pStyle w:val="BodyTextIndent"/>
        <w:numPr>
          <w:ilvl w:val="1"/>
          <w:numId w:val="9"/>
        </w:numPr>
        <w:tabs>
          <w:tab w:val="clear" w:pos="900"/>
          <w:tab w:val="num" w:pos="720"/>
          <w:tab w:val="left" w:pos="1080"/>
          <w:tab w:val="num" w:pos="1170"/>
        </w:tabs>
        <w:spacing w:line="360" w:lineRule="auto"/>
        <w:ind w:left="720" w:hanging="720"/>
      </w:pPr>
      <w:r>
        <w:t>Field samples are sampled and tested to represent the large-scale population distribution.  Sampling usually include</w:t>
      </w:r>
      <w:r>
        <w:t>s primary sampling stage where the sample is extracted from the sample location and secondary sampling stage where the collected sample is reduced to a subsample after physical preparation such as milling and blending.  Testing usually includes chemical pr</w:t>
      </w:r>
      <w:r>
        <w:t>eparation such as extraction and separation, and instrumental analysis.</w:t>
      </w:r>
    </w:p>
    <w:p w:rsidR="00000000" w:rsidRDefault="00657A20" w:rsidP="00657A20">
      <w:pPr>
        <w:pStyle w:val="BodyTextIndent"/>
        <w:numPr>
          <w:ilvl w:val="1"/>
          <w:numId w:val="9"/>
        </w:numPr>
        <w:tabs>
          <w:tab w:val="clear" w:pos="900"/>
          <w:tab w:val="num" w:pos="720"/>
          <w:tab w:val="left" w:pos="1080"/>
          <w:tab w:val="num" w:pos="1170"/>
        </w:tabs>
        <w:spacing w:line="360" w:lineRule="auto"/>
        <w:ind w:left="720" w:hanging="720"/>
      </w:pPr>
      <w:r>
        <w:lastRenderedPageBreak/>
        <w:t>Field co-located duplicate samples are samples collected near (0.5 to 3 feet) the field sample.  Co-located duplicate samples are used to quantify the variance of the sampling strategy</w:t>
      </w:r>
      <w:r>
        <w:t>, sample collection, preparation, and testing stages.</w:t>
      </w:r>
    </w:p>
    <w:p w:rsidR="00000000" w:rsidRDefault="00657A20" w:rsidP="00657A20">
      <w:pPr>
        <w:pStyle w:val="BodyTextIndent"/>
        <w:numPr>
          <w:ilvl w:val="1"/>
          <w:numId w:val="9"/>
        </w:numPr>
        <w:tabs>
          <w:tab w:val="clear" w:pos="900"/>
          <w:tab w:val="num" w:pos="720"/>
          <w:tab w:val="left" w:pos="1080"/>
          <w:tab w:val="num" w:pos="1170"/>
        </w:tabs>
        <w:spacing w:line="360" w:lineRule="auto"/>
        <w:ind w:left="720" w:hanging="720"/>
      </w:pPr>
      <w:r>
        <w:t>Field-split duplicate sample is a field sample homogenized in the field and split into two or more portions that are sent to the laboratory as separate samples.  Field-split duplicate samples are used t</w:t>
      </w:r>
      <w:r>
        <w:t>o quantify the variance of the sample collection, preparation, and testing stages.</w:t>
      </w:r>
    </w:p>
    <w:p w:rsidR="00000000" w:rsidRDefault="00657A20" w:rsidP="00657A20">
      <w:pPr>
        <w:pStyle w:val="BodyTextIndent"/>
        <w:numPr>
          <w:ilvl w:val="1"/>
          <w:numId w:val="9"/>
        </w:numPr>
        <w:tabs>
          <w:tab w:val="clear" w:pos="900"/>
          <w:tab w:val="num" w:pos="720"/>
          <w:tab w:val="left" w:pos="1080"/>
          <w:tab w:val="num" w:pos="1170"/>
        </w:tabs>
        <w:spacing w:line="360" w:lineRule="auto"/>
        <w:ind w:left="720" w:hanging="720"/>
      </w:pPr>
      <w:r>
        <w:t>Hypothesis testing is the formulation of a decision such as not rejecting the null hypothesis, or rejecting the null hypothesis and accepting the alternative hypothesis.  An</w:t>
      </w:r>
      <w:r>
        <w:t xml:space="preserve"> example of hypothesis testing is that the null hypothesis (H</w:t>
      </w:r>
      <w:r>
        <w:rPr>
          <w:vertAlign w:val="subscript"/>
        </w:rPr>
        <w:t>0</w:t>
      </w:r>
      <w:r>
        <w:t>)</w:t>
      </w:r>
      <w:r>
        <w:rPr>
          <w:vertAlign w:val="subscript"/>
        </w:rPr>
        <w:t xml:space="preserve"> </w:t>
      </w:r>
      <w:r>
        <w:t>is H</w:t>
      </w:r>
      <w:r>
        <w:rPr>
          <w:vertAlign w:val="subscript"/>
        </w:rPr>
        <w:t>0</w:t>
      </w:r>
      <w:r>
        <w:t xml:space="preserve"> </w:t>
      </w:r>
      <w:r>
        <w:rPr>
          <w:u w:val="single"/>
        </w:rPr>
        <w:t>&gt;</w:t>
      </w:r>
      <w:r>
        <w:t xml:space="preserve"> the Action Level (AL) and the alternative hypothesis (H</w:t>
      </w:r>
      <w:r>
        <w:rPr>
          <w:vertAlign w:val="subscript"/>
        </w:rPr>
        <w:t>A</w:t>
      </w:r>
      <w:r>
        <w:t>) is H</w:t>
      </w:r>
      <w:r>
        <w:rPr>
          <w:vertAlign w:val="subscript"/>
        </w:rPr>
        <w:t>A</w:t>
      </w:r>
      <w:r>
        <w:t xml:space="preserve"> &lt; AL.  </w:t>
      </w:r>
    </w:p>
    <w:p w:rsidR="00000000" w:rsidRDefault="00657A20" w:rsidP="00657A20">
      <w:pPr>
        <w:pStyle w:val="BodyTextIndent"/>
        <w:numPr>
          <w:ilvl w:val="1"/>
          <w:numId w:val="9"/>
        </w:numPr>
        <w:tabs>
          <w:tab w:val="clear" w:pos="900"/>
          <w:tab w:val="num" w:pos="720"/>
          <w:tab w:val="left" w:pos="1080"/>
          <w:tab w:val="num" w:pos="1170"/>
        </w:tabs>
        <w:spacing w:line="360" w:lineRule="auto"/>
        <w:ind w:left="720" w:hanging="720"/>
      </w:pPr>
      <w:r>
        <w:t>Independent Calibration Verification (ICV) is a standard solution used to verify the calibration curve derived f</w:t>
      </w:r>
      <w:r>
        <w:t>rom a source independent of the instrument calibration standard. The ICV is use to quantify second source standard variance and bias.</w:t>
      </w:r>
    </w:p>
    <w:p w:rsidR="00000000" w:rsidRDefault="00657A20" w:rsidP="00657A20">
      <w:pPr>
        <w:pStyle w:val="BodyTextIndent"/>
        <w:numPr>
          <w:ilvl w:val="1"/>
          <w:numId w:val="9"/>
        </w:numPr>
        <w:tabs>
          <w:tab w:val="clear" w:pos="900"/>
          <w:tab w:val="num" w:pos="720"/>
          <w:tab w:val="left" w:pos="1080"/>
        </w:tabs>
        <w:spacing w:line="360" w:lineRule="auto"/>
        <w:ind w:left="720" w:hanging="720"/>
      </w:pPr>
      <w:r>
        <w:t>Instrument Calibration Standard (ICS) is a reference material used to standardize an analytical instrument.</w:t>
      </w:r>
    </w:p>
    <w:p w:rsidR="00000000" w:rsidRDefault="00657A20" w:rsidP="00657A20">
      <w:pPr>
        <w:pStyle w:val="BodyTextIndent"/>
        <w:numPr>
          <w:ilvl w:val="1"/>
          <w:numId w:val="9"/>
        </w:numPr>
        <w:tabs>
          <w:tab w:val="clear" w:pos="900"/>
          <w:tab w:val="num" w:pos="720"/>
          <w:tab w:val="left" w:pos="1080"/>
        </w:tabs>
        <w:spacing w:line="360" w:lineRule="auto"/>
        <w:ind w:left="720" w:hanging="720"/>
      </w:pPr>
      <w:r>
        <w:t>Instrument Per</w:t>
      </w:r>
      <w:r>
        <w:t>formance Check (IPC) is the analyses of one of the ICSs to verified initial and continuing calibration.  The IPC is used to quantify the instrumental testing repeatability variance and bias.</w:t>
      </w:r>
    </w:p>
    <w:p w:rsidR="00000000" w:rsidRDefault="00657A20" w:rsidP="00657A20">
      <w:pPr>
        <w:pStyle w:val="BodyTextIndent"/>
        <w:numPr>
          <w:ilvl w:val="1"/>
          <w:numId w:val="9"/>
        </w:numPr>
        <w:tabs>
          <w:tab w:val="clear" w:pos="900"/>
          <w:tab w:val="num" w:pos="720"/>
          <w:tab w:val="left" w:pos="1080"/>
          <w:tab w:val="num" w:pos="1170"/>
        </w:tabs>
        <w:spacing w:line="360" w:lineRule="auto"/>
        <w:ind w:left="720" w:hanging="720"/>
      </w:pPr>
      <w:r>
        <w:t>Laboratory control sample (LCS) is a clean-matrix reference mater</w:t>
      </w:r>
      <w:r>
        <w:t>ial with an established analyte concentration derived from a source independent of the instrument calibration standard.  The LCS is carried through the entire chemical preparation and testing procedures.  The LCS is used to quantify the variance and bias o</w:t>
      </w:r>
      <w:r>
        <w:t>f the chemical preparation and instrumental testing stages without matrix interference.  Same a laboratory fortified blank.</w:t>
      </w:r>
    </w:p>
    <w:p w:rsidR="00000000" w:rsidRDefault="00657A20" w:rsidP="00657A20">
      <w:pPr>
        <w:pStyle w:val="BodyTextIndent"/>
        <w:numPr>
          <w:ilvl w:val="1"/>
          <w:numId w:val="9"/>
        </w:numPr>
        <w:tabs>
          <w:tab w:val="clear" w:pos="900"/>
          <w:tab w:val="num" w:pos="720"/>
          <w:tab w:val="left" w:pos="1080"/>
        </w:tabs>
        <w:spacing w:line="360" w:lineRule="auto"/>
        <w:ind w:left="720" w:hanging="720"/>
      </w:pPr>
      <w:r>
        <w:t>Laboratory duplicate subsample is a portion of the collected sample that is carried through the chemical preparation and testing.  T</w:t>
      </w:r>
      <w:r>
        <w:t xml:space="preserve">he Laboratory duplicate subsample is used to quantify the variance of the chemical preparation and instrumental testing stages with matrix interferences.  </w:t>
      </w:r>
    </w:p>
    <w:p w:rsidR="00000000" w:rsidRDefault="00657A20" w:rsidP="00657A20">
      <w:pPr>
        <w:pStyle w:val="BodyTextIndent"/>
        <w:numPr>
          <w:ilvl w:val="1"/>
          <w:numId w:val="9"/>
        </w:numPr>
        <w:tabs>
          <w:tab w:val="clear" w:pos="900"/>
          <w:tab w:val="num" w:pos="720"/>
          <w:tab w:val="left" w:pos="1080"/>
          <w:tab w:val="num" w:pos="1170"/>
        </w:tabs>
        <w:spacing w:line="360" w:lineRule="auto"/>
        <w:ind w:left="720" w:hanging="720"/>
      </w:pPr>
      <w:r>
        <w:t>Laboratory fortified blank (LFB) is the same as the Laboratory Control Sample.</w:t>
      </w:r>
    </w:p>
    <w:p w:rsidR="00000000" w:rsidRDefault="00657A20" w:rsidP="00657A20">
      <w:pPr>
        <w:pStyle w:val="BodyTextIndent"/>
        <w:numPr>
          <w:ilvl w:val="1"/>
          <w:numId w:val="9"/>
        </w:numPr>
        <w:tabs>
          <w:tab w:val="clear" w:pos="900"/>
          <w:tab w:val="num" w:pos="720"/>
          <w:tab w:val="left" w:pos="1080"/>
        </w:tabs>
        <w:spacing w:line="360" w:lineRule="auto"/>
        <w:ind w:left="720" w:hanging="720"/>
      </w:pPr>
      <w:r>
        <w:t xml:space="preserve">Laboratory fortified </w:t>
      </w:r>
      <w:r>
        <w:t>matrix (LFM) is the same as the Matrix Spike Sample.</w:t>
      </w:r>
    </w:p>
    <w:p w:rsidR="00000000" w:rsidRDefault="00657A20" w:rsidP="00657A20">
      <w:pPr>
        <w:pStyle w:val="BodyTextIndent"/>
        <w:numPr>
          <w:ilvl w:val="1"/>
          <w:numId w:val="9"/>
        </w:numPr>
        <w:tabs>
          <w:tab w:val="clear" w:pos="900"/>
          <w:tab w:val="num" w:pos="720"/>
          <w:tab w:val="left" w:pos="1080"/>
          <w:tab w:val="num" w:pos="1170"/>
        </w:tabs>
        <w:spacing w:line="360" w:lineRule="auto"/>
        <w:ind w:left="720" w:hanging="720"/>
      </w:pPr>
      <w:r>
        <w:lastRenderedPageBreak/>
        <w:t>Matrix spiked sample is a subsample spiked with reference material with an established concentration derived from a source independent of the instrument calibration standard.  Matrix spiked sample are ca</w:t>
      </w:r>
      <w:r>
        <w:t>rried through the chemical preparation and testing stages.  Matrix spiked samples are used to quantify the variance and bias of the chemical preparation and testing stages with matrix interference.</w:t>
      </w:r>
    </w:p>
    <w:p w:rsidR="00000000" w:rsidRDefault="00657A20" w:rsidP="00657A20">
      <w:pPr>
        <w:pStyle w:val="BodyTextIndent"/>
        <w:numPr>
          <w:ilvl w:val="1"/>
          <w:numId w:val="9"/>
        </w:numPr>
        <w:tabs>
          <w:tab w:val="clear" w:pos="900"/>
          <w:tab w:val="num" w:pos="720"/>
          <w:tab w:val="left" w:pos="1080"/>
          <w:tab w:val="num" w:pos="1170"/>
        </w:tabs>
        <w:spacing w:line="360" w:lineRule="auto"/>
        <w:ind w:left="720" w:hanging="720"/>
      </w:pPr>
      <w:r>
        <w:t>Precision is the dispersion of replicate analytical measur</w:t>
      </w:r>
      <w:r>
        <w:t xml:space="preserve">ements. Precision is represented by the variance, relative variance, standard deviation, relative standard deviation, or range.  See accuracy and bias. </w:t>
      </w:r>
    </w:p>
    <w:p w:rsidR="00000000" w:rsidRDefault="00657A20" w:rsidP="00657A20">
      <w:pPr>
        <w:pStyle w:val="BodyTextIndent"/>
        <w:numPr>
          <w:ilvl w:val="1"/>
          <w:numId w:val="9"/>
        </w:numPr>
        <w:tabs>
          <w:tab w:val="clear" w:pos="900"/>
          <w:tab w:val="num" w:pos="720"/>
          <w:tab w:val="left" w:pos="1080"/>
          <w:tab w:val="num" w:pos="1170"/>
        </w:tabs>
        <w:spacing w:line="360" w:lineRule="auto"/>
        <w:ind w:left="720" w:hanging="720"/>
      </w:pPr>
      <w:r>
        <w:t>QC-based Nested Approach Spreadsheet is the Microsoft Excel spreadsheet used to automatically calculate</w:t>
      </w:r>
      <w:r>
        <w:t xml:space="preserve"> analytical measurement uncertainty.   </w:t>
      </w:r>
    </w:p>
    <w:p w:rsidR="00000000" w:rsidRDefault="00657A20" w:rsidP="00657A20">
      <w:pPr>
        <w:pStyle w:val="BodyTextIndent"/>
        <w:numPr>
          <w:ilvl w:val="1"/>
          <w:numId w:val="9"/>
        </w:numPr>
        <w:tabs>
          <w:tab w:val="clear" w:pos="900"/>
          <w:tab w:val="num" w:pos="720"/>
          <w:tab w:val="left" w:pos="1080"/>
          <w:tab w:val="num" w:pos="1170"/>
        </w:tabs>
        <w:spacing w:line="360" w:lineRule="auto"/>
        <w:ind w:left="720" w:hanging="720"/>
      </w:pPr>
      <w:r>
        <w:t>Quality Assurance (QA) is the program used to establish confidence in the quality of data generated by the laboratory.  Quality Control is a component of Quality Assurance.</w:t>
      </w:r>
    </w:p>
    <w:p w:rsidR="00000000" w:rsidRDefault="00657A20" w:rsidP="00657A20">
      <w:pPr>
        <w:pStyle w:val="BodyTextIndent"/>
        <w:numPr>
          <w:ilvl w:val="1"/>
          <w:numId w:val="9"/>
        </w:numPr>
        <w:tabs>
          <w:tab w:val="clear" w:pos="900"/>
          <w:tab w:val="num" w:pos="720"/>
          <w:tab w:val="left" w:pos="1080"/>
          <w:tab w:val="num" w:pos="1170"/>
        </w:tabs>
        <w:spacing w:line="360" w:lineRule="auto"/>
        <w:ind w:left="720" w:hanging="720"/>
      </w:pPr>
      <w:r>
        <w:t>Quality Control (QC) is the program that in</w:t>
      </w:r>
      <w:r>
        <w:t xml:space="preserve">cludes planning, implementing, monitoring, assessing, and adjusting processes that the laboratory uses to measure its capability and performance in generating quality data.   </w:t>
      </w:r>
    </w:p>
    <w:p w:rsidR="00000000" w:rsidRDefault="00657A20" w:rsidP="00657A20">
      <w:pPr>
        <w:pStyle w:val="BodyTextIndent"/>
        <w:numPr>
          <w:ilvl w:val="1"/>
          <w:numId w:val="9"/>
        </w:numPr>
        <w:tabs>
          <w:tab w:val="clear" w:pos="900"/>
          <w:tab w:val="num" w:pos="720"/>
          <w:tab w:val="left" w:pos="1080"/>
          <w:tab w:val="num" w:pos="1170"/>
        </w:tabs>
        <w:spacing w:line="360" w:lineRule="auto"/>
        <w:ind w:left="720" w:hanging="720"/>
      </w:pPr>
      <w:r>
        <w:t>Quality Control Chart is a graph of analytical measurement results for a specifi</w:t>
      </w:r>
      <w:r>
        <w:t>c QC standard plotted sequentially with upper and lower control limits (</w:t>
      </w:r>
      <w:r>
        <w:sym w:font="Symbol" w:char="F0B1"/>
      </w:r>
      <w:r>
        <w:t>3</w:t>
      </w:r>
      <w:r>
        <w:sym w:font="Symbol" w:char="F073"/>
      </w:r>
      <w:r>
        <w:t>).  A central line that is the best estimate of the average variable plotted, and upper and lower warning limits (</w:t>
      </w:r>
      <w:r>
        <w:sym w:font="Symbol" w:char="F0B1"/>
      </w:r>
      <w:r>
        <w:t>2</w:t>
      </w:r>
      <w:r>
        <w:sym w:font="Symbol" w:char="F073"/>
      </w:r>
      <w:r>
        <w:t>) are usually included in the Quality Control Chart.</w:t>
      </w:r>
    </w:p>
    <w:p w:rsidR="00000000" w:rsidRDefault="00657A20" w:rsidP="00657A20">
      <w:pPr>
        <w:pStyle w:val="BodyTextIndent"/>
        <w:numPr>
          <w:ilvl w:val="1"/>
          <w:numId w:val="9"/>
        </w:numPr>
        <w:tabs>
          <w:tab w:val="clear" w:pos="900"/>
          <w:tab w:val="num" w:pos="720"/>
          <w:tab w:val="left" w:pos="1080"/>
          <w:tab w:val="num" w:pos="1170"/>
        </w:tabs>
        <w:spacing w:line="360" w:lineRule="auto"/>
        <w:ind w:left="720" w:hanging="720"/>
      </w:pPr>
      <w:r>
        <w:t>Quality Con</w:t>
      </w:r>
      <w:r>
        <w:t>trol Sample is the same as the Independent Calibration Verification (ICV).</w:t>
      </w:r>
    </w:p>
    <w:p w:rsidR="00000000" w:rsidRDefault="00657A20" w:rsidP="00657A20">
      <w:pPr>
        <w:pStyle w:val="BodyTextIndent"/>
        <w:numPr>
          <w:ilvl w:val="1"/>
          <w:numId w:val="9"/>
        </w:numPr>
        <w:tabs>
          <w:tab w:val="clear" w:pos="900"/>
          <w:tab w:val="num" w:pos="720"/>
          <w:tab w:val="left" w:pos="1080"/>
          <w:tab w:val="num" w:pos="1170"/>
        </w:tabs>
        <w:spacing w:line="360" w:lineRule="auto"/>
        <w:ind w:left="720" w:hanging="720"/>
      </w:pPr>
      <w:r>
        <w:t xml:space="preserve">Reference material is a traceable standard with an established analyte concentration.  </w:t>
      </w:r>
    </w:p>
    <w:p w:rsidR="00000000" w:rsidRDefault="00657A20" w:rsidP="00657A20">
      <w:pPr>
        <w:pStyle w:val="BodyTextIndent"/>
        <w:numPr>
          <w:ilvl w:val="1"/>
          <w:numId w:val="9"/>
        </w:numPr>
        <w:tabs>
          <w:tab w:val="clear" w:pos="900"/>
          <w:tab w:val="num" w:pos="720"/>
          <w:tab w:val="left" w:pos="1080"/>
          <w:tab w:val="num" w:pos="1170"/>
        </w:tabs>
        <w:spacing w:line="360" w:lineRule="auto"/>
        <w:ind w:left="720" w:hanging="720"/>
      </w:pPr>
      <w:r>
        <w:t>Replicate analytical measurements are two or more results representing the same sample parame</w:t>
      </w:r>
      <w:r>
        <w:t xml:space="preserve">ter.  Replicate analytical measurements are used to quantify the analytical measurement repeatability precision.    </w:t>
      </w:r>
    </w:p>
    <w:p w:rsidR="00000000" w:rsidRDefault="00657A20" w:rsidP="00657A20">
      <w:pPr>
        <w:pStyle w:val="BodyTextIndent"/>
        <w:numPr>
          <w:ilvl w:val="1"/>
          <w:numId w:val="9"/>
        </w:numPr>
        <w:tabs>
          <w:tab w:val="clear" w:pos="900"/>
          <w:tab w:val="num" w:pos="720"/>
          <w:tab w:val="left" w:pos="1080"/>
          <w:tab w:val="num" w:pos="1170"/>
        </w:tabs>
        <w:spacing w:line="360" w:lineRule="auto"/>
        <w:ind w:left="720" w:hanging="720"/>
      </w:pPr>
      <w:r>
        <w:t>Replicate samples are two or more samples representing the same population parameter.</w:t>
      </w:r>
    </w:p>
    <w:p w:rsidR="00000000" w:rsidRDefault="00657A20" w:rsidP="00657A20">
      <w:pPr>
        <w:pStyle w:val="BodyTextIndent"/>
        <w:numPr>
          <w:ilvl w:val="1"/>
          <w:numId w:val="9"/>
        </w:numPr>
        <w:tabs>
          <w:tab w:val="clear" w:pos="900"/>
          <w:tab w:val="num" w:pos="720"/>
          <w:tab w:val="left" w:pos="1080"/>
          <w:tab w:val="num" w:pos="1170"/>
        </w:tabs>
        <w:spacing w:line="360" w:lineRule="auto"/>
        <w:ind w:left="720" w:hanging="720"/>
      </w:pPr>
      <w:r>
        <w:t>Standard uncertainty is the analytical measurement un</w:t>
      </w:r>
      <w:r>
        <w:t>certainty expressed as a standard deviation.  The relative standard deviation represents the relative standard uncertainty.</w:t>
      </w:r>
    </w:p>
    <w:p w:rsidR="00000000" w:rsidRDefault="00657A20" w:rsidP="00657A20">
      <w:pPr>
        <w:pStyle w:val="BodyTextIndent"/>
        <w:numPr>
          <w:ilvl w:val="1"/>
          <w:numId w:val="9"/>
        </w:numPr>
        <w:tabs>
          <w:tab w:val="clear" w:pos="900"/>
          <w:tab w:val="num" w:pos="720"/>
          <w:tab w:val="left" w:pos="1080"/>
          <w:tab w:val="num" w:pos="1170"/>
        </w:tabs>
        <w:spacing w:line="360" w:lineRule="auto"/>
        <w:ind w:left="720" w:hanging="720"/>
      </w:pPr>
      <w:r>
        <w:t>Type I error results in hypothesis testing for rejecting the null hypothesis when it should not be rejected.</w:t>
      </w:r>
    </w:p>
    <w:p w:rsidR="00000000" w:rsidRDefault="00657A20" w:rsidP="00657A20">
      <w:pPr>
        <w:pStyle w:val="BodyTextIndent"/>
        <w:numPr>
          <w:ilvl w:val="1"/>
          <w:numId w:val="9"/>
        </w:numPr>
        <w:tabs>
          <w:tab w:val="clear" w:pos="900"/>
          <w:tab w:val="num" w:pos="720"/>
          <w:tab w:val="left" w:pos="1080"/>
          <w:tab w:val="num" w:pos="1170"/>
        </w:tabs>
        <w:spacing w:line="360" w:lineRule="auto"/>
        <w:ind w:left="720" w:hanging="720"/>
      </w:pPr>
      <w:r>
        <w:t>Type II error results i</w:t>
      </w:r>
      <w:r>
        <w:t>n hypothesis testing for not rejecting the null hypothesis when it should be rejected.</w:t>
      </w:r>
    </w:p>
    <w:p w:rsidR="00000000" w:rsidRDefault="00657A20" w:rsidP="00657A20">
      <w:pPr>
        <w:pStyle w:val="BodyTextIndent"/>
        <w:numPr>
          <w:ilvl w:val="1"/>
          <w:numId w:val="9"/>
        </w:numPr>
        <w:tabs>
          <w:tab w:val="clear" w:pos="900"/>
          <w:tab w:val="num" w:pos="720"/>
          <w:tab w:val="left" w:pos="1080"/>
          <w:tab w:val="num" w:pos="1170"/>
        </w:tabs>
        <w:spacing w:line="360" w:lineRule="auto"/>
        <w:ind w:left="720" w:hanging="720"/>
      </w:pPr>
      <w:r>
        <w:lastRenderedPageBreak/>
        <w:t>Type A evaluation of uncertainty is the method of evaluation of uncertainty by the statistical analysis of a series of test results.</w:t>
      </w:r>
    </w:p>
    <w:p w:rsidR="00000000" w:rsidRDefault="00657A20" w:rsidP="00657A20">
      <w:pPr>
        <w:pStyle w:val="BodyTextIndent"/>
        <w:numPr>
          <w:ilvl w:val="1"/>
          <w:numId w:val="9"/>
        </w:numPr>
        <w:tabs>
          <w:tab w:val="clear" w:pos="900"/>
          <w:tab w:val="num" w:pos="720"/>
          <w:tab w:val="left" w:pos="1080"/>
          <w:tab w:val="num" w:pos="1170"/>
        </w:tabs>
        <w:spacing w:line="360" w:lineRule="auto"/>
        <w:ind w:left="720" w:hanging="720"/>
      </w:pPr>
      <w:r>
        <w:t xml:space="preserve">Type B evaluation of uncertainty is </w:t>
      </w:r>
      <w:r>
        <w:t>the method of evaluation of uncertainty by means other than statistical analysis.</w:t>
      </w:r>
    </w:p>
    <w:p w:rsidR="00000000" w:rsidRDefault="00657A20" w:rsidP="00657A20">
      <w:pPr>
        <w:pStyle w:val="BodyTextIndent"/>
        <w:numPr>
          <w:ilvl w:val="1"/>
          <w:numId w:val="9"/>
        </w:numPr>
        <w:tabs>
          <w:tab w:val="clear" w:pos="900"/>
          <w:tab w:val="num" w:pos="720"/>
          <w:tab w:val="left" w:pos="1080"/>
          <w:tab w:val="num" w:pos="1170"/>
        </w:tabs>
        <w:spacing w:line="360" w:lineRule="auto"/>
        <w:ind w:left="720" w:hanging="720"/>
      </w:pPr>
      <w:r>
        <w:t>Uncertainty is the parameter associated with the analytical measurement results that characterizes the dispersion of the values that could be reasonable attributed to the qua</w:t>
      </w:r>
      <w:r>
        <w:t xml:space="preserve">ntity measured.   </w:t>
      </w:r>
    </w:p>
    <w:p w:rsidR="00000000" w:rsidRDefault="00657A20" w:rsidP="00657A20">
      <w:pPr>
        <w:pStyle w:val="BodyTextIndent"/>
        <w:numPr>
          <w:ilvl w:val="1"/>
          <w:numId w:val="9"/>
        </w:numPr>
        <w:tabs>
          <w:tab w:val="clear" w:pos="900"/>
          <w:tab w:val="num" w:pos="720"/>
          <w:tab w:val="left" w:pos="1080"/>
          <w:tab w:val="num" w:pos="1170"/>
        </w:tabs>
        <w:spacing w:line="360" w:lineRule="auto"/>
        <w:ind w:left="720" w:hanging="720"/>
      </w:pPr>
      <w:r>
        <w:t>Uncertainty interval is the range of analyte concentrations that an analytical measurement could represent at a specified level of confidence.  The relative standard deviation is used to represent the relative standard uncertainty in the</w:t>
      </w:r>
      <w:r>
        <w:t xml:space="preserve"> QC-based Nested Approach.</w:t>
      </w:r>
    </w:p>
    <w:p w:rsidR="00000000" w:rsidRDefault="00657A20" w:rsidP="00657A20">
      <w:pPr>
        <w:pStyle w:val="BodyTextIndent"/>
        <w:numPr>
          <w:ilvl w:val="0"/>
          <w:numId w:val="9"/>
        </w:numPr>
        <w:tabs>
          <w:tab w:val="clear" w:pos="360"/>
          <w:tab w:val="num" w:pos="720"/>
          <w:tab w:val="left" w:pos="1080"/>
        </w:tabs>
        <w:spacing w:line="360" w:lineRule="auto"/>
        <w:ind w:left="720" w:hanging="720"/>
        <w:rPr>
          <w:b/>
          <w:bCs/>
        </w:rPr>
      </w:pPr>
      <w:r>
        <w:rPr>
          <w:b/>
          <w:bCs/>
        </w:rPr>
        <w:t>QUALITY CONTROL</w:t>
      </w:r>
    </w:p>
    <w:p w:rsidR="00000000" w:rsidRDefault="00657A20" w:rsidP="00657A20">
      <w:pPr>
        <w:pStyle w:val="BodyTextIndent"/>
        <w:numPr>
          <w:ilvl w:val="1"/>
          <w:numId w:val="9"/>
        </w:numPr>
        <w:tabs>
          <w:tab w:val="clear" w:pos="900"/>
          <w:tab w:val="num" w:pos="720"/>
          <w:tab w:val="num" w:pos="1080"/>
        </w:tabs>
        <w:spacing w:line="360" w:lineRule="auto"/>
        <w:ind w:left="720" w:hanging="720"/>
      </w:pPr>
      <w:r>
        <w:t>The estimation of analytical measurement is an integral component of the Quality Assurance-Quality Control system.  “One of the prime objectives of quality assurance is to evaluate measurement uncertainty.” (Taylo</w:t>
      </w:r>
      <w:r>
        <w:t xml:space="preserve">r, J.K., 10) </w:t>
      </w:r>
    </w:p>
    <w:p w:rsidR="00000000" w:rsidRDefault="00657A20" w:rsidP="00657A20">
      <w:pPr>
        <w:pStyle w:val="BodyTextIndent"/>
        <w:numPr>
          <w:ilvl w:val="1"/>
          <w:numId w:val="9"/>
        </w:numPr>
        <w:tabs>
          <w:tab w:val="clear" w:pos="900"/>
          <w:tab w:val="num" w:pos="720"/>
          <w:tab w:val="num" w:pos="1080"/>
        </w:tabs>
        <w:spacing w:line="360" w:lineRule="auto"/>
        <w:ind w:left="720" w:hanging="720"/>
      </w:pPr>
      <w:r>
        <w:t>A component of Quality Control is laboratory generated Quality Control Charts.  The use of the QC-based Nested Approach Spreadsheet is based on the bias and precision limits of Quality Control Charts.</w:t>
      </w:r>
    </w:p>
    <w:p w:rsidR="00000000" w:rsidRDefault="00657A20" w:rsidP="00657A20">
      <w:pPr>
        <w:pStyle w:val="BodyTextIndent"/>
        <w:numPr>
          <w:ilvl w:val="1"/>
          <w:numId w:val="9"/>
        </w:numPr>
        <w:tabs>
          <w:tab w:val="clear" w:pos="900"/>
          <w:tab w:val="num" w:pos="720"/>
          <w:tab w:val="num" w:pos="1080"/>
        </w:tabs>
        <w:spacing w:line="360" w:lineRule="auto"/>
        <w:ind w:left="720" w:hanging="720"/>
      </w:pPr>
      <w:r>
        <w:t>Quality Control Charts must represent the</w:t>
      </w:r>
      <w:r>
        <w:t xml:space="preserve"> laboratory’s capability and performance, and the analytical measurement system must have a stable pattern of variation.  “Until a measurement operation has attained a state of statistical control, it cannot be regarded in any logical sense as measuring an</w:t>
      </w:r>
      <w:r>
        <w:t xml:space="preserve">ything at all.” (Taylor, J.K., 13)  </w:t>
      </w:r>
    </w:p>
    <w:p w:rsidR="00000000" w:rsidRDefault="00657A20" w:rsidP="00657A20">
      <w:pPr>
        <w:pStyle w:val="BodyTextIndent"/>
        <w:numPr>
          <w:ilvl w:val="1"/>
          <w:numId w:val="9"/>
        </w:numPr>
        <w:tabs>
          <w:tab w:val="clear" w:pos="900"/>
          <w:tab w:val="num" w:pos="720"/>
          <w:tab w:val="num" w:pos="1080"/>
        </w:tabs>
        <w:spacing w:line="360" w:lineRule="auto"/>
        <w:ind w:left="720" w:hanging="720"/>
      </w:pPr>
      <w:r>
        <w:t xml:space="preserve">The QC-based estimation of analytical measurement uncertainty per analyte, matrix, and technology must be calculated when Quality Control Charts are updated.  Usually Quality Control Charts are updated annually or when </w:t>
      </w:r>
      <w:r>
        <w:t>there is a major change in primary analytical personnel, analytical instrumentation, or analytical procedures.</w:t>
      </w:r>
    </w:p>
    <w:p w:rsidR="00000000" w:rsidRDefault="00657A20" w:rsidP="00657A20">
      <w:pPr>
        <w:pStyle w:val="BodyTextIndent"/>
        <w:numPr>
          <w:ilvl w:val="1"/>
          <w:numId w:val="9"/>
        </w:numPr>
        <w:tabs>
          <w:tab w:val="clear" w:pos="900"/>
          <w:tab w:val="num" w:pos="720"/>
          <w:tab w:val="num" w:pos="1080"/>
        </w:tabs>
        <w:spacing w:line="360" w:lineRule="auto"/>
        <w:ind w:left="720" w:hanging="720"/>
      </w:pPr>
      <w:r>
        <w:t xml:space="preserve">Though it is recognized that other sources of uncertainty contribute to total analytical measurement uncertainty, the laboratory is usually only </w:t>
      </w:r>
      <w:r>
        <w:t>responsible for reporting estimations of uncertainty for the analysis components of the laboratory.  If the laboratory has access to field-split duplicates data or field co-located duplicate data, then sample collection and subsampling, and sampling strate</w:t>
      </w:r>
      <w:r>
        <w:t>gy components can be quantified.</w:t>
      </w:r>
    </w:p>
    <w:p w:rsidR="00000000" w:rsidRDefault="00657A20" w:rsidP="00657A20">
      <w:pPr>
        <w:pStyle w:val="BodyTextIndent"/>
        <w:numPr>
          <w:ilvl w:val="1"/>
          <w:numId w:val="9"/>
        </w:numPr>
        <w:tabs>
          <w:tab w:val="clear" w:pos="900"/>
          <w:tab w:val="num" w:pos="720"/>
          <w:tab w:val="num" w:pos="1080"/>
        </w:tabs>
        <w:spacing w:line="360" w:lineRule="auto"/>
        <w:ind w:left="720" w:hanging="720"/>
      </w:pPr>
      <w:r>
        <w:lastRenderedPageBreak/>
        <w:t>Each analyst is responsible for calculating estimations of uncertainty and Quality Control assessment of the reasonableness of the calculations.  The automated Microsoft Excel spreadsheet (QC-based Nested Approach for Estim</w:t>
      </w:r>
      <w:r>
        <w:t xml:space="preserve">ating Analytical Measurement Uncertainty) calculates the analytical measurement uncertainty based on Quality Control Chart data.  </w:t>
      </w:r>
    </w:p>
    <w:p w:rsidR="00000000" w:rsidRDefault="00657A20" w:rsidP="00657A20">
      <w:pPr>
        <w:pStyle w:val="BodyTextIndent"/>
        <w:numPr>
          <w:ilvl w:val="1"/>
          <w:numId w:val="9"/>
        </w:numPr>
        <w:tabs>
          <w:tab w:val="clear" w:pos="900"/>
          <w:tab w:val="num" w:pos="720"/>
          <w:tab w:val="num" w:pos="1080"/>
        </w:tabs>
        <w:spacing w:line="360" w:lineRule="auto"/>
        <w:ind w:left="720" w:hanging="720"/>
      </w:pPr>
      <w:r>
        <w:t xml:space="preserve">The person responsible for Quality Assurance must review analytical measurement uncertainty calculations at least annually.  </w:t>
      </w:r>
      <w:r>
        <w:t xml:space="preserve">The estimation of analytical measurement uncertainty must be uniform and consistent to ensure data quality and data comparability. </w:t>
      </w:r>
    </w:p>
    <w:p w:rsidR="00000000" w:rsidRDefault="00657A20" w:rsidP="00657A20">
      <w:pPr>
        <w:pStyle w:val="Heading4"/>
        <w:numPr>
          <w:ilvl w:val="0"/>
          <w:numId w:val="9"/>
        </w:numPr>
        <w:tabs>
          <w:tab w:val="clear" w:pos="360"/>
          <w:tab w:val="num" w:pos="720"/>
          <w:tab w:val="left" w:pos="1080"/>
        </w:tabs>
        <w:ind w:left="720" w:hanging="720"/>
      </w:pPr>
      <w:r>
        <w:t xml:space="preserve">PROCEDURE </w:t>
      </w:r>
    </w:p>
    <w:p w:rsidR="00000000" w:rsidRDefault="00657A20" w:rsidP="00657A20">
      <w:pPr>
        <w:pStyle w:val="Heading4"/>
        <w:numPr>
          <w:ilvl w:val="1"/>
          <w:numId w:val="4"/>
        </w:numPr>
        <w:tabs>
          <w:tab w:val="num" w:pos="720"/>
          <w:tab w:val="left" w:pos="1080"/>
        </w:tabs>
        <w:ind w:left="720" w:hanging="720"/>
        <w:rPr>
          <w:b w:val="0"/>
          <w:bCs w:val="0"/>
        </w:rPr>
      </w:pPr>
      <w:r>
        <w:rPr>
          <w:b w:val="0"/>
          <w:bCs w:val="0"/>
        </w:rPr>
        <w:t>If the reference method results in qualitative or semi-quantitative measurements, then the report result is an es</w:t>
      </w:r>
      <w:r>
        <w:rPr>
          <w:b w:val="0"/>
          <w:bCs w:val="0"/>
        </w:rPr>
        <w:t xml:space="preserve">timate and analytical measurement uncertainty is not quantified.  </w:t>
      </w:r>
    </w:p>
    <w:p w:rsidR="00000000" w:rsidRDefault="00657A20" w:rsidP="00657A20">
      <w:pPr>
        <w:pStyle w:val="Heading4"/>
        <w:numPr>
          <w:ilvl w:val="1"/>
          <w:numId w:val="4"/>
        </w:numPr>
        <w:tabs>
          <w:tab w:val="num" w:pos="720"/>
          <w:tab w:val="left" w:pos="1080"/>
        </w:tabs>
        <w:ind w:left="720" w:hanging="720"/>
        <w:rPr>
          <w:b w:val="0"/>
          <w:bCs w:val="0"/>
        </w:rPr>
      </w:pPr>
      <w:r>
        <w:rPr>
          <w:b w:val="0"/>
          <w:bCs w:val="0"/>
        </w:rPr>
        <w:t xml:space="preserve">If the reference method specifies the procedure for estimation of analytical measurement uncertainty, then follow the reference method procedure. </w:t>
      </w:r>
    </w:p>
    <w:p w:rsidR="00000000" w:rsidRDefault="00657A20" w:rsidP="00657A20">
      <w:pPr>
        <w:pStyle w:val="Heading4"/>
        <w:numPr>
          <w:ilvl w:val="1"/>
          <w:numId w:val="4"/>
        </w:numPr>
        <w:tabs>
          <w:tab w:val="num" w:pos="720"/>
          <w:tab w:val="left" w:pos="1080"/>
        </w:tabs>
        <w:ind w:left="720" w:hanging="720"/>
        <w:rPr>
          <w:b w:val="0"/>
          <w:bCs w:val="0"/>
        </w:rPr>
      </w:pPr>
      <w:r>
        <w:rPr>
          <w:b w:val="0"/>
          <w:bCs w:val="0"/>
        </w:rPr>
        <w:t>If the reference method does not specify t</w:t>
      </w:r>
      <w:r>
        <w:rPr>
          <w:b w:val="0"/>
          <w:bCs w:val="0"/>
        </w:rPr>
        <w:t xml:space="preserve">he procedure for estimating analytical measurement uncertainty, then use this procedure. </w:t>
      </w:r>
    </w:p>
    <w:p w:rsidR="00000000" w:rsidRDefault="00657A20" w:rsidP="00657A20">
      <w:pPr>
        <w:pStyle w:val="Heading4"/>
        <w:numPr>
          <w:ilvl w:val="1"/>
          <w:numId w:val="4"/>
        </w:numPr>
        <w:tabs>
          <w:tab w:val="num" w:pos="720"/>
          <w:tab w:val="left" w:pos="1080"/>
        </w:tabs>
        <w:ind w:left="720" w:hanging="720"/>
        <w:rPr>
          <w:b w:val="0"/>
          <w:bCs w:val="0"/>
        </w:rPr>
      </w:pPr>
      <w:r>
        <w:rPr>
          <w:b w:val="0"/>
          <w:bCs w:val="0"/>
        </w:rPr>
        <w:t xml:space="preserve">The analytical measurement uncertainty for each quantitative field of testing must be estimated per analyte of interest, sample matrix, and analytical technology.   </w:t>
      </w:r>
    </w:p>
    <w:p w:rsidR="00000000" w:rsidRDefault="00657A20" w:rsidP="00657A20">
      <w:pPr>
        <w:pStyle w:val="Heading4"/>
        <w:numPr>
          <w:ilvl w:val="1"/>
          <w:numId w:val="4"/>
        </w:numPr>
        <w:tabs>
          <w:tab w:val="num" w:pos="720"/>
          <w:tab w:val="left" w:pos="1080"/>
        </w:tabs>
        <w:ind w:left="720" w:hanging="720"/>
        <w:rPr>
          <w:b w:val="0"/>
          <w:bCs w:val="0"/>
        </w:rPr>
      </w:pPr>
      <w:r>
        <w:rPr>
          <w:b w:val="0"/>
          <w:bCs w:val="0"/>
        </w:rPr>
        <w:t xml:space="preserve">The automated calculation of laboratory analytical measurement uncertainty requires the following Quality Control standards: </w:t>
      </w:r>
    </w:p>
    <w:p w:rsidR="00000000" w:rsidRDefault="00657A20" w:rsidP="00657A20">
      <w:pPr>
        <w:pStyle w:val="BodyTextIndent2"/>
        <w:numPr>
          <w:ilvl w:val="0"/>
          <w:numId w:val="6"/>
        </w:numPr>
        <w:tabs>
          <w:tab w:val="num" w:pos="720"/>
          <w:tab w:val="left" w:pos="1800"/>
        </w:tabs>
        <w:spacing w:line="360" w:lineRule="auto"/>
        <w:ind w:left="720" w:hanging="720"/>
      </w:pPr>
      <w:r>
        <w:t>Instrument Calibration Standard or Instrument Performance Check</w:t>
      </w:r>
    </w:p>
    <w:p w:rsidR="00000000" w:rsidRDefault="00657A20" w:rsidP="00657A20">
      <w:pPr>
        <w:pStyle w:val="BodyTextIndent2"/>
        <w:numPr>
          <w:ilvl w:val="0"/>
          <w:numId w:val="6"/>
        </w:numPr>
        <w:tabs>
          <w:tab w:val="num" w:pos="720"/>
          <w:tab w:val="left" w:pos="1800"/>
        </w:tabs>
        <w:spacing w:line="360" w:lineRule="auto"/>
        <w:ind w:left="720" w:hanging="720"/>
      </w:pPr>
      <w:r>
        <w:t>Independent Calibration Verification or Quality Control Sample</w:t>
      </w:r>
    </w:p>
    <w:p w:rsidR="00000000" w:rsidRDefault="00657A20" w:rsidP="00657A20">
      <w:pPr>
        <w:pStyle w:val="BodyTextIndent2"/>
        <w:numPr>
          <w:ilvl w:val="0"/>
          <w:numId w:val="6"/>
        </w:numPr>
        <w:tabs>
          <w:tab w:val="num" w:pos="720"/>
          <w:tab w:val="left" w:pos="1800"/>
        </w:tabs>
        <w:spacing w:line="360" w:lineRule="auto"/>
        <w:ind w:left="720" w:hanging="720"/>
      </w:pPr>
      <w:r>
        <w:t>Lab</w:t>
      </w:r>
      <w:r>
        <w:t>oratory Control Sample or Laboratory Fortified Blank</w:t>
      </w:r>
    </w:p>
    <w:p w:rsidR="00000000" w:rsidRDefault="00657A20" w:rsidP="00657A20">
      <w:pPr>
        <w:pStyle w:val="BodyTextIndent2"/>
        <w:numPr>
          <w:ilvl w:val="0"/>
          <w:numId w:val="6"/>
        </w:numPr>
        <w:tabs>
          <w:tab w:val="num" w:pos="720"/>
          <w:tab w:val="left" w:pos="1800"/>
        </w:tabs>
        <w:spacing w:line="360" w:lineRule="auto"/>
        <w:ind w:left="720" w:hanging="720"/>
      </w:pPr>
      <w:r>
        <w:t>Matrix Spiked Sample or Laboratory Fortified Matrix</w:t>
      </w:r>
    </w:p>
    <w:p w:rsidR="00000000" w:rsidRDefault="00657A20">
      <w:pPr>
        <w:pStyle w:val="BodyTextIndent2"/>
        <w:tabs>
          <w:tab w:val="num" w:pos="720"/>
          <w:tab w:val="left" w:pos="1800"/>
        </w:tabs>
        <w:spacing w:line="360" w:lineRule="auto"/>
        <w:ind w:left="720" w:hanging="720"/>
      </w:pPr>
    </w:p>
    <w:p w:rsidR="00000000" w:rsidRDefault="00657A20" w:rsidP="00657A20">
      <w:pPr>
        <w:pStyle w:val="Heading4"/>
        <w:numPr>
          <w:ilvl w:val="1"/>
          <w:numId w:val="4"/>
        </w:numPr>
        <w:tabs>
          <w:tab w:val="num" w:pos="720"/>
          <w:tab w:val="left" w:pos="1080"/>
        </w:tabs>
        <w:ind w:left="720" w:hanging="720"/>
        <w:rPr>
          <w:b w:val="0"/>
          <w:bCs w:val="0"/>
        </w:rPr>
      </w:pPr>
      <w:r>
        <w:rPr>
          <w:b w:val="0"/>
          <w:bCs w:val="0"/>
        </w:rPr>
        <w:t>Acquire twenty analyses for each of the QC standards described in Section 6.5. Twenty analyses are required for the automated calculation of analytica</w:t>
      </w:r>
      <w:r>
        <w:rPr>
          <w:b w:val="0"/>
          <w:bCs w:val="0"/>
        </w:rPr>
        <w:t xml:space="preserve">l measurement uncertainty.  These data may be acquired from Quality Control Charts.  </w:t>
      </w:r>
    </w:p>
    <w:p w:rsidR="00000000" w:rsidRDefault="00657A20" w:rsidP="00657A20">
      <w:pPr>
        <w:pStyle w:val="Heading4"/>
        <w:numPr>
          <w:ilvl w:val="1"/>
          <w:numId w:val="4"/>
        </w:numPr>
        <w:tabs>
          <w:tab w:val="num" w:pos="720"/>
          <w:tab w:val="left" w:pos="1080"/>
        </w:tabs>
        <w:ind w:left="720" w:hanging="720"/>
        <w:rPr>
          <w:b w:val="0"/>
          <w:bCs w:val="0"/>
        </w:rPr>
      </w:pPr>
      <w:r>
        <w:rPr>
          <w:b w:val="0"/>
          <w:bCs w:val="0"/>
        </w:rPr>
        <w:t xml:space="preserve">Subtract the reference analyte concentration from the analytical measurement result and divide the difference by the reference analyte concentration.  </w:t>
      </w:r>
    </w:p>
    <w:p w:rsidR="00000000" w:rsidRDefault="00657A20" w:rsidP="00657A20">
      <w:pPr>
        <w:pStyle w:val="Heading4"/>
        <w:numPr>
          <w:ilvl w:val="1"/>
          <w:numId w:val="4"/>
        </w:numPr>
        <w:tabs>
          <w:tab w:val="num" w:pos="720"/>
          <w:tab w:val="left" w:pos="1080"/>
        </w:tabs>
        <w:ind w:left="720" w:hanging="720"/>
        <w:rPr>
          <w:b w:val="0"/>
          <w:bCs w:val="0"/>
        </w:rPr>
      </w:pPr>
      <w:r>
        <w:rPr>
          <w:b w:val="0"/>
          <w:bCs w:val="0"/>
        </w:rPr>
        <w:t xml:space="preserve">Multiply relative </w:t>
      </w:r>
      <w:r>
        <w:rPr>
          <w:b w:val="0"/>
          <w:bCs w:val="0"/>
        </w:rPr>
        <w:t xml:space="preserve">error by 100 to calculate the percent deviation. The percent deviation is relative deviation from the reference analyte concentration multiplied by 100.   Input the </w:t>
      </w:r>
      <w:r>
        <w:rPr>
          <w:b w:val="0"/>
          <w:bCs w:val="0"/>
        </w:rPr>
        <w:lastRenderedPageBreak/>
        <w:t>percent deviation data into the QC-based Nested Approach Spreadsheet in the appropriate col</w:t>
      </w:r>
      <w:r>
        <w:rPr>
          <w:b w:val="0"/>
          <w:bCs w:val="0"/>
        </w:rPr>
        <w:t xml:space="preserve">umn.  See Appendix A for the mathematical algorithm used to calculate analytical measurement uncertainty. </w:t>
      </w:r>
    </w:p>
    <w:p w:rsidR="00000000" w:rsidRDefault="00657A20" w:rsidP="00657A20">
      <w:pPr>
        <w:pStyle w:val="Heading4"/>
        <w:numPr>
          <w:ilvl w:val="1"/>
          <w:numId w:val="4"/>
        </w:numPr>
        <w:tabs>
          <w:tab w:val="num" w:pos="720"/>
          <w:tab w:val="left" w:pos="1080"/>
        </w:tabs>
        <w:ind w:left="720" w:hanging="720"/>
        <w:rPr>
          <w:b w:val="0"/>
          <w:bCs w:val="0"/>
        </w:rPr>
      </w:pPr>
      <w:r>
        <w:rPr>
          <w:b w:val="0"/>
          <w:bCs w:val="0"/>
        </w:rPr>
        <w:t xml:space="preserve">Input the following information into the spreadsheet: </w:t>
      </w:r>
    </w:p>
    <w:p w:rsidR="00000000" w:rsidRDefault="00657A20" w:rsidP="00657A20">
      <w:pPr>
        <w:pStyle w:val="BodyTextIndent2"/>
        <w:numPr>
          <w:ilvl w:val="0"/>
          <w:numId w:val="11"/>
        </w:numPr>
        <w:tabs>
          <w:tab w:val="clear" w:pos="1440"/>
          <w:tab w:val="num" w:pos="720"/>
          <w:tab w:val="left" w:pos="1800"/>
        </w:tabs>
        <w:spacing w:line="360" w:lineRule="auto"/>
        <w:ind w:left="720" w:hanging="720"/>
      </w:pPr>
      <w:r>
        <w:t>Analyte, matrix, and technology</w:t>
      </w:r>
    </w:p>
    <w:p w:rsidR="00000000" w:rsidRDefault="00657A20" w:rsidP="00657A20">
      <w:pPr>
        <w:pStyle w:val="BodyTextIndent2"/>
        <w:numPr>
          <w:ilvl w:val="0"/>
          <w:numId w:val="11"/>
        </w:numPr>
        <w:tabs>
          <w:tab w:val="clear" w:pos="1440"/>
          <w:tab w:val="num" w:pos="720"/>
          <w:tab w:val="left" w:pos="1800"/>
        </w:tabs>
        <w:spacing w:line="360" w:lineRule="auto"/>
        <w:ind w:left="720" w:hanging="720"/>
      </w:pPr>
      <w:r>
        <w:t>Confidence level</w:t>
      </w:r>
    </w:p>
    <w:p w:rsidR="00000000" w:rsidRDefault="00657A20" w:rsidP="00657A20">
      <w:pPr>
        <w:pStyle w:val="BodyTextIndent2"/>
        <w:numPr>
          <w:ilvl w:val="0"/>
          <w:numId w:val="11"/>
        </w:numPr>
        <w:tabs>
          <w:tab w:val="clear" w:pos="1440"/>
          <w:tab w:val="num" w:pos="720"/>
          <w:tab w:val="left" w:pos="1800"/>
        </w:tabs>
        <w:spacing w:line="360" w:lineRule="auto"/>
        <w:ind w:left="720" w:hanging="720"/>
      </w:pPr>
      <w:r>
        <w:t>Analytical measurement</w:t>
      </w:r>
    </w:p>
    <w:p w:rsidR="00000000" w:rsidRDefault="00657A20" w:rsidP="00657A20">
      <w:pPr>
        <w:pStyle w:val="BodyTextIndent2"/>
        <w:numPr>
          <w:ilvl w:val="0"/>
          <w:numId w:val="11"/>
        </w:numPr>
        <w:tabs>
          <w:tab w:val="clear" w:pos="1440"/>
          <w:tab w:val="num" w:pos="720"/>
          <w:tab w:val="left" w:pos="1800"/>
        </w:tabs>
        <w:spacing w:line="360" w:lineRule="auto"/>
        <w:ind w:left="720" w:hanging="720"/>
      </w:pPr>
      <w:r>
        <w:t>Units</w:t>
      </w:r>
    </w:p>
    <w:p w:rsidR="00000000" w:rsidRDefault="00657A20" w:rsidP="00657A20">
      <w:pPr>
        <w:pStyle w:val="Heading4"/>
        <w:numPr>
          <w:ilvl w:val="1"/>
          <w:numId w:val="4"/>
        </w:numPr>
        <w:tabs>
          <w:tab w:val="num" w:pos="720"/>
          <w:tab w:val="left" w:pos="1080"/>
        </w:tabs>
        <w:ind w:left="720" w:hanging="720"/>
        <w:rPr>
          <w:b w:val="0"/>
          <w:bCs w:val="0"/>
        </w:rPr>
      </w:pPr>
      <w:r>
        <w:rPr>
          <w:b w:val="0"/>
          <w:bCs w:val="0"/>
        </w:rPr>
        <w:t>The confidence l</w:t>
      </w:r>
      <w:r>
        <w:rPr>
          <w:b w:val="0"/>
          <w:bCs w:val="0"/>
        </w:rPr>
        <w:t>evel is usually 95%, but other confidence levels can be selected according to client requirements.  The QC-based Nested Approach Spreadsheet presents the confidence interval associated with the analytical measurement.  Bias-correction is also presented for</w:t>
      </w:r>
      <w:r>
        <w:rPr>
          <w:b w:val="0"/>
          <w:bCs w:val="0"/>
        </w:rPr>
        <w:t xml:space="preserve"> comparison.  The bias-correction is based on the recovery efficiency of the laboratory chemical preparation and instrumental analysis components.</w:t>
      </w:r>
    </w:p>
    <w:p w:rsidR="00000000" w:rsidRDefault="00657A20" w:rsidP="00657A20">
      <w:pPr>
        <w:pStyle w:val="Heading4"/>
        <w:numPr>
          <w:ilvl w:val="1"/>
          <w:numId w:val="4"/>
        </w:numPr>
        <w:tabs>
          <w:tab w:val="num" w:pos="720"/>
          <w:tab w:val="left" w:pos="1080"/>
        </w:tabs>
        <w:ind w:left="720" w:hanging="720"/>
        <w:rPr>
          <w:b w:val="0"/>
          <w:bCs w:val="0"/>
        </w:rPr>
      </w:pPr>
      <w:r>
        <w:rPr>
          <w:b w:val="0"/>
          <w:bCs w:val="0"/>
        </w:rPr>
        <w:t>Representative sampling and subsampling eliminates sampling bias and imprecision associated materialization e</w:t>
      </w:r>
      <w:r>
        <w:rPr>
          <w:b w:val="0"/>
          <w:bCs w:val="0"/>
        </w:rPr>
        <w:t xml:space="preserve">rror. </w:t>
      </w:r>
    </w:p>
    <w:p w:rsidR="00000000" w:rsidRDefault="00657A20" w:rsidP="00657A20">
      <w:pPr>
        <w:pStyle w:val="Heading4"/>
        <w:numPr>
          <w:ilvl w:val="1"/>
          <w:numId w:val="4"/>
        </w:numPr>
        <w:tabs>
          <w:tab w:val="num" w:pos="720"/>
          <w:tab w:val="left" w:pos="1080"/>
        </w:tabs>
        <w:ind w:left="720" w:hanging="720"/>
        <w:rPr>
          <w:b w:val="0"/>
          <w:bCs w:val="0"/>
        </w:rPr>
      </w:pPr>
      <w:r>
        <w:rPr>
          <w:b w:val="0"/>
          <w:bCs w:val="0"/>
        </w:rPr>
        <w:t xml:space="preserve">The Uncertainty Budget of the general analytical measurement components of uncertainty can be tabulated from the QC-based Nested Approach Spreadsheet histogram.  An example Uncertainty Budget is presented in Appendix B. </w:t>
      </w:r>
    </w:p>
    <w:p w:rsidR="00000000" w:rsidRDefault="00657A20">
      <w:pPr>
        <w:tabs>
          <w:tab w:val="num" w:pos="720"/>
        </w:tabs>
        <w:ind w:left="720" w:hanging="720"/>
      </w:pPr>
    </w:p>
    <w:p w:rsidR="00000000" w:rsidRDefault="00657A20" w:rsidP="00657A20">
      <w:pPr>
        <w:pStyle w:val="Heading4"/>
        <w:numPr>
          <w:ilvl w:val="1"/>
          <w:numId w:val="4"/>
        </w:numPr>
        <w:tabs>
          <w:tab w:val="num" w:pos="720"/>
          <w:tab w:val="left" w:pos="1080"/>
        </w:tabs>
        <w:ind w:left="720" w:hanging="720"/>
        <w:rPr>
          <w:b w:val="0"/>
          <w:bCs w:val="0"/>
        </w:rPr>
      </w:pPr>
      <w:r>
        <w:rPr>
          <w:b w:val="0"/>
          <w:bCs w:val="0"/>
        </w:rPr>
        <w:t>The Uncertainty Budget of s</w:t>
      </w:r>
      <w:r>
        <w:rPr>
          <w:b w:val="0"/>
          <w:bCs w:val="0"/>
        </w:rPr>
        <w:t>pecific analytical measurement components of uncertainty can be tabulated by itemizing sources of uncertainty that may or may not affect total analytical measurement uncertainty.  An example Uncertainty Budget with specific sources of uncertainty is presen</w:t>
      </w:r>
      <w:r>
        <w:rPr>
          <w:b w:val="0"/>
          <w:bCs w:val="0"/>
        </w:rPr>
        <w:t>ted in Appendix C.</w:t>
      </w:r>
    </w:p>
    <w:p w:rsidR="00000000" w:rsidRDefault="00657A20" w:rsidP="00657A20">
      <w:pPr>
        <w:pStyle w:val="Heading4"/>
        <w:numPr>
          <w:ilvl w:val="1"/>
          <w:numId w:val="4"/>
        </w:numPr>
        <w:tabs>
          <w:tab w:val="num" w:pos="720"/>
        </w:tabs>
        <w:ind w:left="720" w:hanging="720"/>
        <w:rPr>
          <w:b w:val="0"/>
          <w:bCs w:val="0"/>
        </w:rPr>
      </w:pPr>
      <w:r>
        <w:rPr>
          <w:b w:val="0"/>
          <w:bCs w:val="0"/>
        </w:rPr>
        <w:t>An example spreadsheet is presented in Appendix D with copper in wastewater by ICP quality control results.</w:t>
      </w:r>
    </w:p>
    <w:p w:rsidR="00000000" w:rsidRDefault="00657A20" w:rsidP="00657A20">
      <w:pPr>
        <w:pStyle w:val="Heading4"/>
        <w:numPr>
          <w:ilvl w:val="1"/>
          <w:numId w:val="4"/>
        </w:numPr>
        <w:tabs>
          <w:tab w:val="num" w:pos="720"/>
        </w:tabs>
        <w:ind w:left="720" w:hanging="720"/>
        <w:rPr>
          <w:b w:val="0"/>
          <w:bCs w:val="0"/>
        </w:rPr>
      </w:pPr>
      <w:r>
        <w:rPr>
          <w:b w:val="0"/>
          <w:bCs w:val="0"/>
        </w:rPr>
        <w:t>The data from Appendix D is used in Appendix E to validate the QC-based calculator spreadsheet software.</w:t>
      </w:r>
    </w:p>
    <w:p w:rsidR="00000000" w:rsidRDefault="00657A20">
      <w:pPr>
        <w:pStyle w:val="Heading3"/>
        <w:tabs>
          <w:tab w:val="clear" w:pos="360"/>
          <w:tab w:val="num" w:pos="720"/>
          <w:tab w:val="left" w:pos="1080"/>
        </w:tabs>
        <w:spacing w:line="360" w:lineRule="auto"/>
        <w:ind w:left="720" w:hanging="720"/>
      </w:pPr>
      <w:r>
        <w:t>DOCUMENTATION</w:t>
      </w:r>
    </w:p>
    <w:p w:rsidR="00000000" w:rsidRDefault="00657A20" w:rsidP="00657A20">
      <w:pPr>
        <w:pStyle w:val="Heading3"/>
        <w:numPr>
          <w:ilvl w:val="1"/>
          <w:numId w:val="5"/>
        </w:numPr>
        <w:tabs>
          <w:tab w:val="clear" w:pos="900"/>
          <w:tab w:val="num" w:pos="720"/>
          <w:tab w:val="left" w:pos="1080"/>
        </w:tabs>
        <w:spacing w:line="360" w:lineRule="auto"/>
        <w:ind w:left="720" w:hanging="720"/>
        <w:rPr>
          <w:b w:val="0"/>
          <w:bCs w:val="0"/>
        </w:rPr>
      </w:pPr>
      <w:r>
        <w:rPr>
          <w:b w:val="0"/>
          <w:bCs w:val="0"/>
        </w:rPr>
        <w:t>Documentat</w:t>
      </w:r>
      <w:r>
        <w:rPr>
          <w:b w:val="0"/>
          <w:bCs w:val="0"/>
        </w:rPr>
        <w:t>ion of a analytical measurement may require the following:</w:t>
      </w:r>
    </w:p>
    <w:p w:rsidR="00000000" w:rsidRDefault="00657A20" w:rsidP="00657A20">
      <w:pPr>
        <w:numPr>
          <w:ilvl w:val="0"/>
          <w:numId w:val="3"/>
        </w:numPr>
        <w:tabs>
          <w:tab w:val="clear" w:pos="1440"/>
          <w:tab w:val="num" w:pos="720"/>
          <w:tab w:val="num" w:pos="1800"/>
        </w:tabs>
        <w:spacing w:line="360" w:lineRule="auto"/>
        <w:ind w:left="720" w:hanging="720"/>
      </w:pPr>
      <w:r>
        <w:rPr>
          <w:sz w:val="24"/>
        </w:rPr>
        <w:t xml:space="preserve">Description of the methods used to calculate the measurement result and estimation of analytical measurement uncertainty </w:t>
      </w:r>
    </w:p>
    <w:p w:rsidR="00000000" w:rsidRDefault="00657A20" w:rsidP="00657A20">
      <w:pPr>
        <w:numPr>
          <w:ilvl w:val="0"/>
          <w:numId w:val="3"/>
        </w:numPr>
        <w:tabs>
          <w:tab w:val="clear" w:pos="1440"/>
          <w:tab w:val="num" w:pos="720"/>
          <w:tab w:val="num" w:pos="1800"/>
        </w:tabs>
        <w:spacing w:line="360" w:lineRule="auto"/>
        <w:ind w:left="720" w:hanging="720"/>
      </w:pPr>
      <w:r>
        <w:rPr>
          <w:sz w:val="24"/>
        </w:rPr>
        <w:lastRenderedPageBreak/>
        <w:t>Uncertainty Budget of uncertainty components</w:t>
      </w:r>
    </w:p>
    <w:p w:rsidR="00000000" w:rsidRDefault="00657A20" w:rsidP="00657A20">
      <w:pPr>
        <w:numPr>
          <w:ilvl w:val="0"/>
          <w:numId w:val="3"/>
        </w:numPr>
        <w:tabs>
          <w:tab w:val="clear" w:pos="1440"/>
          <w:tab w:val="num" w:pos="720"/>
          <w:tab w:val="num" w:pos="1800"/>
        </w:tabs>
        <w:spacing w:line="360" w:lineRule="auto"/>
        <w:ind w:left="720" w:hanging="720"/>
        <w:rPr>
          <w:sz w:val="24"/>
        </w:rPr>
      </w:pPr>
      <w:r>
        <w:rPr>
          <w:sz w:val="24"/>
        </w:rPr>
        <w:t>Correction factors used to nor</w:t>
      </w:r>
      <w:r>
        <w:rPr>
          <w:sz w:val="24"/>
        </w:rPr>
        <w:t>malize (correct for bias) the data</w:t>
      </w:r>
    </w:p>
    <w:p w:rsidR="00000000" w:rsidRDefault="00657A20" w:rsidP="00657A20">
      <w:pPr>
        <w:numPr>
          <w:ilvl w:val="0"/>
          <w:numId w:val="3"/>
        </w:numPr>
        <w:tabs>
          <w:tab w:val="clear" w:pos="1440"/>
          <w:tab w:val="num" w:pos="720"/>
          <w:tab w:val="num" w:pos="1800"/>
        </w:tabs>
        <w:spacing w:line="360" w:lineRule="auto"/>
        <w:ind w:left="720" w:hanging="720"/>
      </w:pPr>
      <w:r>
        <w:rPr>
          <w:sz w:val="24"/>
        </w:rPr>
        <w:t>Report the analytical measurement result with estimated expanded uncertainty and the level of confidence</w:t>
      </w:r>
    </w:p>
    <w:p w:rsidR="00000000" w:rsidRDefault="00657A20" w:rsidP="00657A20">
      <w:pPr>
        <w:pStyle w:val="Heading3"/>
        <w:numPr>
          <w:ilvl w:val="1"/>
          <w:numId w:val="5"/>
        </w:numPr>
        <w:tabs>
          <w:tab w:val="clear" w:pos="900"/>
          <w:tab w:val="num" w:pos="720"/>
          <w:tab w:val="left" w:pos="1080"/>
        </w:tabs>
        <w:spacing w:line="360" w:lineRule="auto"/>
        <w:ind w:left="720" w:hanging="720"/>
        <w:rPr>
          <w:b w:val="0"/>
          <w:bCs w:val="0"/>
        </w:rPr>
      </w:pPr>
      <w:r>
        <w:rPr>
          <w:b w:val="0"/>
          <w:bCs w:val="0"/>
        </w:rPr>
        <w:t>The estimated analytical measurement uncertainty must be reported to the clients when uncertainty affects the interp</w:t>
      </w:r>
      <w:r>
        <w:rPr>
          <w:b w:val="0"/>
          <w:bCs w:val="0"/>
        </w:rPr>
        <w:t>retation of the analytical measurement result.  (17025, 5.10.3.1 c) An example is comparing the uncertainty interval to a specification limit to determine whether the uncertainty affects compliance.</w:t>
      </w:r>
    </w:p>
    <w:p w:rsidR="00000000" w:rsidRDefault="00657A20" w:rsidP="00657A20">
      <w:pPr>
        <w:pStyle w:val="Heading3"/>
        <w:numPr>
          <w:ilvl w:val="1"/>
          <w:numId w:val="5"/>
        </w:numPr>
        <w:tabs>
          <w:tab w:val="clear" w:pos="900"/>
          <w:tab w:val="num" w:pos="720"/>
          <w:tab w:val="left" w:pos="1080"/>
        </w:tabs>
        <w:spacing w:line="360" w:lineRule="auto"/>
        <w:ind w:left="720" w:hanging="720"/>
        <w:rPr>
          <w:b w:val="0"/>
          <w:bCs w:val="0"/>
        </w:rPr>
      </w:pPr>
      <w:r>
        <w:rPr>
          <w:b w:val="0"/>
          <w:bCs w:val="0"/>
        </w:rPr>
        <w:t xml:space="preserve">The QC-based Nested Approach can be used to estimate the </w:t>
      </w:r>
      <w:r>
        <w:rPr>
          <w:b w:val="0"/>
          <w:bCs w:val="0"/>
        </w:rPr>
        <w:t xml:space="preserve">uncertainty interval and correct for bias when reporting analytical measurement results. </w:t>
      </w:r>
    </w:p>
    <w:p w:rsidR="00000000" w:rsidRDefault="00657A20">
      <w:pPr>
        <w:pStyle w:val="Heading3"/>
        <w:tabs>
          <w:tab w:val="clear" w:pos="360"/>
          <w:tab w:val="num" w:pos="720"/>
        </w:tabs>
        <w:spacing w:line="360" w:lineRule="auto"/>
        <w:ind w:left="720" w:hanging="720"/>
      </w:pPr>
      <w:r>
        <w:t>REFERENCES</w:t>
      </w:r>
    </w:p>
    <w:p w:rsidR="00000000" w:rsidRDefault="00657A20" w:rsidP="00657A20">
      <w:pPr>
        <w:pStyle w:val="Heading3"/>
        <w:numPr>
          <w:ilvl w:val="0"/>
          <w:numId w:val="3"/>
        </w:numPr>
        <w:tabs>
          <w:tab w:val="clear" w:pos="1440"/>
          <w:tab w:val="num" w:pos="720"/>
          <w:tab w:val="num" w:pos="1080"/>
        </w:tabs>
        <w:spacing w:line="360" w:lineRule="auto"/>
        <w:ind w:left="720" w:hanging="720"/>
        <w:jc w:val="both"/>
        <w:rPr>
          <w:b w:val="0"/>
          <w:bCs w:val="0"/>
        </w:rPr>
      </w:pPr>
      <w:r>
        <w:rPr>
          <w:b w:val="0"/>
          <w:bCs w:val="0"/>
        </w:rPr>
        <w:t xml:space="preserve">ISO 17025-1999, </w:t>
      </w:r>
      <w:r>
        <w:rPr>
          <w:b w:val="0"/>
          <w:bCs w:val="0"/>
          <w:i/>
          <w:iCs/>
        </w:rPr>
        <w:t xml:space="preserve">General Requirements for the Competence of Testing and Calibration Laboratories, </w:t>
      </w:r>
      <w:r>
        <w:rPr>
          <w:b w:val="0"/>
          <w:bCs w:val="0"/>
        </w:rPr>
        <w:t>The International Organization of Standardization (ISO) an</w:t>
      </w:r>
      <w:r>
        <w:rPr>
          <w:b w:val="0"/>
          <w:bCs w:val="0"/>
        </w:rPr>
        <w:t xml:space="preserve">d the International Electrotechnical Commission (IEC), December 1999. </w:t>
      </w:r>
    </w:p>
    <w:p w:rsidR="00000000" w:rsidRDefault="00657A20" w:rsidP="00657A20">
      <w:pPr>
        <w:pStyle w:val="Heading3"/>
        <w:numPr>
          <w:ilvl w:val="0"/>
          <w:numId w:val="3"/>
        </w:numPr>
        <w:tabs>
          <w:tab w:val="clear" w:pos="1440"/>
          <w:tab w:val="num" w:pos="720"/>
          <w:tab w:val="num" w:pos="1080"/>
        </w:tabs>
        <w:spacing w:line="360" w:lineRule="auto"/>
        <w:ind w:left="720" w:hanging="720"/>
        <w:rPr>
          <w:b w:val="0"/>
          <w:bCs w:val="0"/>
        </w:rPr>
      </w:pPr>
      <w:r>
        <w:rPr>
          <w:b w:val="0"/>
          <w:bCs w:val="0"/>
        </w:rPr>
        <w:t xml:space="preserve">American National Standard for Expressing Uncertainty - U.S. Guide to the Expression of Uncertainty in Measurement, (US GUM), American National Standards Institute (ANSI) in 1997.  </w:t>
      </w:r>
    </w:p>
    <w:p w:rsidR="00000000" w:rsidRDefault="00657A20" w:rsidP="00657A20">
      <w:pPr>
        <w:pStyle w:val="Heading3"/>
        <w:numPr>
          <w:ilvl w:val="0"/>
          <w:numId w:val="3"/>
        </w:numPr>
        <w:tabs>
          <w:tab w:val="clear" w:pos="1440"/>
          <w:tab w:val="num" w:pos="720"/>
          <w:tab w:val="num" w:pos="1080"/>
        </w:tabs>
        <w:spacing w:line="360" w:lineRule="auto"/>
        <w:ind w:left="720" w:hanging="720"/>
        <w:rPr>
          <w:b w:val="0"/>
          <w:bCs w:val="0"/>
        </w:rPr>
      </w:pPr>
      <w:r>
        <w:rPr>
          <w:b w:val="0"/>
          <w:bCs w:val="0"/>
        </w:rPr>
        <w:t>ISO</w:t>
      </w:r>
      <w:r>
        <w:rPr>
          <w:b w:val="0"/>
          <w:bCs w:val="0"/>
        </w:rPr>
        <w:t xml:space="preserve"> </w:t>
      </w:r>
      <w:r>
        <w:rPr>
          <w:b w:val="0"/>
          <w:bCs w:val="0"/>
          <w:i/>
          <w:iCs/>
        </w:rPr>
        <w:t xml:space="preserve">Guide to the Expression of Uncertainty in Measurement </w:t>
      </w:r>
      <w:r>
        <w:rPr>
          <w:b w:val="0"/>
          <w:bCs w:val="0"/>
        </w:rPr>
        <w:t>(GUM), 1993.</w:t>
      </w:r>
    </w:p>
    <w:p w:rsidR="00000000" w:rsidRDefault="00657A20" w:rsidP="00657A20">
      <w:pPr>
        <w:pStyle w:val="FootnoteText"/>
        <w:numPr>
          <w:ilvl w:val="0"/>
          <w:numId w:val="3"/>
        </w:numPr>
        <w:tabs>
          <w:tab w:val="num" w:pos="720"/>
          <w:tab w:val="left" w:pos="1080"/>
        </w:tabs>
        <w:spacing w:line="360" w:lineRule="auto"/>
        <w:ind w:left="720" w:hanging="720"/>
        <w:rPr>
          <w:sz w:val="24"/>
        </w:rPr>
      </w:pPr>
      <w:r>
        <w:rPr>
          <w:i/>
          <w:iCs/>
          <w:sz w:val="24"/>
        </w:rPr>
        <w:t>Quality Assurance of Chemical Measurements</w:t>
      </w:r>
      <w:r>
        <w:rPr>
          <w:sz w:val="24"/>
        </w:rPr>
        <w:t xml:space="preserve">, Taylor, John Keenan, Lewis Publishers, 1987. </w:t>
      </w:r>
    </w:p>
    <w:p w:rsidR="00000000" w:rsidRDefault="00657A20" w:rsidP="00657A20">
      <w:pPr>
        <w:numPr>
          <w:ilvl w:val="0"/>
          <w:numId w:val="3"/>
        </w:numPr>
        <w:tabs>
          <w:tab w:val="clear" w:pos="1440"/>
          <w:tab w:val="num" w:pos="720"/>
          <w:tab w:val="num" w:pos="1080"/>
        </w:tabs>
        <w:spacing w:line="360" w:lineRule="auto"/>
        <w:ind w:left="720" w:hanging="720"/>
        <w:rPr>
          <w:sz w:val="24"/>
        </w:rPr>
      </w:pPr>
      <w:r>
        <w:rPr>
          <w:i/>
          <w:iCs/>
          <w:sz w:val="24"/>
        </w:rPr>
        <w:t>Environmental Analytical Measurement Uncertainty Estimation: Nested Hierarchical Approach</w:t>
      </w:r>
      <w:r>
        <w:rPr>
          <w:sz w:val="24"/>
        </w:rPr>
        <w:t>, Ingerso</w:t>
      </w:r>
      <w:r>
        <w:rPr>
          <w:sz w:val="24"/>
        </w:rPr>
        <w:t>ll, William Stephen, 2001.</w:t>
      </w:r>
    </w:p>
    <w:p w:rsidR="00000000" w:rsidRDefault="00657A20" w:rsidP="00657A20">
      <w:pPr>
        <w:numPr>
          <w:ilvl w:val="0"/>
          <w:numId w:val="3"/>
        </w:numPr>
        <w:tabs>
          <w:tab w:val="clear" w:pos="1440"/>
          <w:tab w:val="num" w:pos="720"/>
          <w:tab w:val="num" w:pos="1080"/>
        </w:tabs>
        <w:spacing w:line="360" w:lineRule="auto"/>
        <w:ind w:left="720" w:hanging="720"/>
        <w:rPr>
          <w:sz w:val="24"/>
        </w:rPr>
      </w:pPr>
      <w:r>
        <w:rPr>
          <w:i/>
          <w:iCs/>
          <w:sz w:val="24"/>
        </w:rPr>
        <w:t>QC-based Nested Approach for Estimating Measurement Uncertainty Spreadsheet</w:t>
      </w:r>
      <w:r>
        <w:rPr>
          <w:sz w:val="24"/>
        </w:rPr>
        <w:t>, Microsoft Excel Spreadsheet, Ingersoll, William Stephen, 2002.</w:t>
      </w:r>
    </w:p>
    <w:p w:rsidR="00000000" w:rsidRDefault="00657A20">
      <w:pPr>
        <w:spacing w:line="360" w:lineRule="auto"/>
        <w:ind w:left="1080" w:hanging="540"/>
        <w:rPr>
          <w:sz w:val="24"/>
        </w:rPr>
      </w:pPr>
    </w:p>
    <w:p w:rsidR="00000000" w:rsidRDefault="00657A20">
      <w:pPr>
        <w:spacing w:line="360" w:lineRule="auto"/>
        <w:ind w:left="1080" w:hanging="540"/>
        <w:rPr>
          <w:b/>
          <w:bCs/>
          <w:sz w:val="24"/>
          <w:u w:val="single"/>
        </w:rPr>
      </w:pPr>
    </w:p>
    <w:p w:rsidR="00000000" w:rsidRDefault="00657A20">
      <w:pPr>
        <w:spacing w:line="360" w:lineRule="auto"/>
        <w:ind w:left="1080" w:hanging="540"/>
        <w:rPr>
          <w:sz w:val="24"/>
        </w:rPr>
      </w:pPr>
    </w:p>
    <w:p w:rsidR="00000000" w:rsidRDefault="00657A20">
      <w:pPr>
        <w:spacing w:line="360" w:lineRule="auto"/>
        <w:rPr>
          <w:b/>
          <w:bCs/>
          <w:sz w:val="24"/>
        </w:rPr>
      </w:pPr>
      <w:r>
        <w:rPr>
          <w:sz w:val="24"/>
        </w:rPr>
        <w:br w:type="page"/>
      </w:r>
      <w:r>
        <w:rPr>
          <w:b/>
          <w:bCs/>
          <w:sz w:val="24"/>
        </w:rPr>
        <w:lastRenderedPageBreak/>
        <w:t>APPENDIX A: CALCULATIONS</w:t>
      </w:r>
    </w:p>
    <w:p w:rsidR="00000000" w:rsidRDefault="00657A20">
      <w:pPr>
        <w:pStyle w:val="BodyText2"/>
        <w:tabs>
          <w:tab w:val="left" w:pos="720"/>
        </w:tabs>
        <w:spacing w:line="360" w:lineRule="auto"/>
        <w:ind w:left="720" w:hanging="720"/>
      </w:pPr>
      <w:r>
        <w:t xml:space="preserve">A.1      The mathematical model for uncertainty propagation </w:t>
      </w:r>
      <w:r>
        <w:t>is the Taylor series expansion.</w:t>
      </w:r>
    </w:p>
    <w:p w:rsidR="00000000" w:rsidRDefault="00657A20">
      <w:pPr>
        <w:pStyle w:val="BodyText2"/>
        <w:tabs>
          <w:tab w:val="left" w:pos="720"/>
        </w:tabs>
        <w:spacing w:line="360" w:lineRule="auto"/>
        <w:ind w:left="1440" w:hanging="720"/>
      </w:pPr>
      <w:r>
        <w:t>A.1.1   The Equation A.1 is the Taylor series expansion for determining the estimated combined variance (</w:t>
      </w:r>
      <w:r>
        <w:rPr>
          <w:i/>
        </w:rPr>
        <w:t>u</w:t>
      </w:r>
      <w:r>
        <w:rPr>
          <w:i/>
          <w:vertAlign w:val="subscript"/>
        </w:rPr>
        <w:t>c</w:t>
      </w:r>
      <w:r>
        <w:rPr>
          <w:i/>
          <w:vertAlign w:val="superscript"/>
        </w:rPr>
        <w:t>2</w:t>
      </w:r>
      <w:r>
        <w:rPr>
          <w:i/>
        </w:rPr>
        <w:t>)</w:t>
      </w:r>
      <w:r>
        <w:t>:</w:t>
      </w:r>
    </w:p>
    <w:p w:rsidR="00000000" w:rsidRDefault="00657A20">
      <w:pPr>
        <w:pStyle w:val="BodyText2"/>
        <w:ind w:left="1440" w:hanging="1440"/>
        <w:jc w:val="center"/>
        <w:rPr>
          <w:vertAlign w:val="subscript"/>
        </w:rPr>
      </w:pPr>
      <w:r>
        <w:rPr>
          <w:i/>
        </w:rPr>
        <w:t>u</w:t>
      </w:r>
      <w:r>
        <w:rPr>
          <w:i/>
          <w:vertAlign w:val="subscript"/>
        </w:rPr>
        <w:t>c</w:t>
      </w:r>
      <w:r>
        <w:rPr>
          <w:i/>
          <w:vertAlign w:val="superscript"/>
        </w:rPr>
        <w:t>2</w:t>
      </w:r>
      <w:r>
        <w:rPr>
          <w:i/>
          <w:vertAlign w:val="subscript"/>
        </w:rPr>
        <w:t xml:space="preserve"> </w:t>
      </w:r>
      <w:r>
        <w:rPr>
          <w:i/>
        </w:rPr>
        <w:t xml:space="preserve">(y) = </w:t>
      </w:r>
      <w:r>
        <w:rPr>
          <w:position w:val="-28"/>
        </w:rPr>
        <w:object w:dxaOrig="4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33.75pt" o:ole="">
            <v:imagedata r:id="rId7" o:title=""/>
          </v:shape>
          <o:OLEObject Type="Embed" ProgID="Equation.3" ShapeID="_x0000_i1025" DrawAspect="Content" ObjectID="_1742211759" r:id="rId8"/>
        </w:object>
      </w:r>
      <w:r>
        <w:rPr>
          <w:i/>
        </w:rPr>
        <w:t>(</w:t>
      </w:r>
      <w:r>
        <w:rPr>
          <w:i/>
        </w:rPr>
        <w:sym w:font="Symbol" w:char="00B6"/>
      </w:r>
      <w:r>
        <w:rPr>
          <w:i/>
        </w:rPr>
        <w:t xml:space="preserve"> f/</w:t>
      </w:r>
      <w:r>
        <w:rPr>
          <w:i/>
        </w:rPr>
        <w:sym w:font="Symbol" w:char="00B6"/>
      </w:r>
      <w:r>
        <w:rPr>
          <w:i/>
        </w:rPr>
        <w:t xml:space="preserve"> x</w:t>
      </w:r>
      <w:r>
        <w:rPr>
          <w:i/>
          <w:vertAlign w:val="subscript"/>
        </w:rPr>
        <w:t>i</w:t>
      </w:r>
      <w:r>
        <w:rPr>
          <w:i/>
        </w:rPr>
        <w:t>)</w:t>
      </w:r>
      <w:r>
        <w:rPr>
          <w:i/>
          <w:vertAlign w:val="superscript"/>
        </w:rPr>
        <w:t>2</w:t>
      </w:r>
      <w:r>
        <w:rPr>
          <w:i/>
        </w:rPr>
        <w:t xml:space="preserve"> u</w:t>
      </w:r>
      <w:r>
        <w:rPr>
          <w:i/>
          <w:vertAlign w:val="superscript"/>
        </w:rPr>
        <w:t>2</w:t>
      </w:r>
      <w:r>
        <w:rPr>
          <w:i/>
        </w:rPr>
        <w:t>(x</w:t>
      </w:r>
      <w:r>
        <w:rPr>
          <w:i/>
          <w:vertAlign w:val="subscript"/>
        </w:rPr>
        <w:t>i</w:t>
      </w:r>
      <w:r>
        <w:rPr>
          <w:i/>
        </w:rPr>
        <w:t xml:space="preserve">) +2 </w:t>
      </w:r>
      <w:r>
        <w:rPr>
          <w:position w:val="-28"/>
        </w:rPr>
        <w:object w:dxaOrig="460" w:dyaOrig="680">
          <v:shape id="_x0000_i1026" type="#_x0000_t75" style="width:23.25pt;height:33.75pt" o:ole="">
            <v:imagedata r:id="rId9" o:title=""/>
          </v:shape>
          <o:OLEObject Type="Embed" ProgID="Equation.3" ShapeID="_x0000_i1026" DrawAspect="Content" ObjectID="_1742211760" r:id="rId10"/>
        </w:object>
      </w:r>
      <w:r>
        <w:rPr>
          <w:position w:val="-30"/>
        </w:rPr>
        <w:object w:dxaOrig="520" w:dyaOrig="700">
          <v:shape id="_x0000_i1027" type="#_x0000_t75" style="width:26.25pt;height:35.25pt" o:ole="">
            <v:imagedata r:id="rId11" o:title=""/>
          </v:shape>
          <o:OLEObject Type="Embed" ProgID="Equation.3" ShapeID="_x0000_i1027" DrawAspect="Content" ObjectID="_1742211761" r:id="rId12"/>
        </w:object>
      </w:r>
      <w:r>
        <w:rPr>
          <w:i/>
        </w:rPr>
        <w:t>(</w:t>
      </w:r>
      <w:r>
        <w:rPr>
          <w:i/>
        </w:rPr>
        <w:sym w:font="Symbol" w:char="00B6"/>
      </w:r>
      <w:r>
        <w:rPr>
          <w:i/>
        </w:rPr>
        <w:t xml:space="preserve"> f/</w:t>
      </w:r>
      <w:r>
        <w:rPr>
          <w:i/>
        </w:rPr>
        <w:sym w:font="Symbol" w:char="00B6"/>
      </w:r>
      <w:r>
        <w:rPr>
          <w:i/>
        </w:rPr>
        <w:t xml:space="preserve"> x</w:t>
      </w:r>
      <w:r>
        <w:rPr>
          <w:i/>
          <w:vertAlign w:val="subscript"/>
        </w:rPr>
        <w:t>i</w:t>
      </w:r>
      <w:r>
        <w:rPr>
          <w:i/>
        </w:rPr>
        <w:t>)(</w:t>
      </w:r>
      <w:r>
        <w:rPr>
          <w:i/>
        </w:rPr>
        <w:sym w:font="Symbol" w:char="00B6"/>
      </w:r>
      <w:r>
        <w:rPr>
          <w:i/>
        </w:rPr>
        <w:t xml:space="preserve"> f/</w:t>
      </w:r>
      <w:r>
        <w:rPr>
          <w:i/>
        </w:rPr>
        <w:sym w:font="Symbol" w:char="00B6"/>
      </w:r>
      <w:r>
        <w:rPr>
          <w:i/>
        </w:rPr>
        <w:t xml:space="preserve"> x</w:t>
      </w:r>
      <w:r>
        <w:rPr>
          <w:i/>
          <w:vertAlign w:val="subscript"/>
        </w:rPr>
        <w:t xml:space="preserve">j </w:t>
      </w:r>
      <w:r>
        <w:rPr>
          <w:i/>
        </w:rPr>
        <w:t>)u(x</w:t>
      </w:r>
      <w:r>
        <w:rPr>
          <w:i/>
          <w:vertAlign w:val="subscript"/>
        </w:rPr>
        <w:t>i,</w:t>
      </w:r>
      <w:r>
        <w:rPr>
          <w:i/>
        </w:rPr>
        <w:t>, x</w:t>
      </w:r>
      <w:r>
        <w:rPr>
          <w:i/>
          <w:vertAlign w:val="subscript"/>
        </w:rPr>
        <w:t>j</w:t>
      </w:r>
      <w:r>
        <w:rPr>
          <w:i/>
        </w:rPr>
        <w:t>)</w:t>
      </w:r>
    </w:p>
    <w:p w:rsidR="00000000" w:rsidRDefault="00657A20">
      <w:pPr>
        <w:pStyle w:val="BodyText2"/>
        <w:rPr>
          <w:b/>
          <w:bCs/>
          <w:u w:val="single"/>
        </w:rPr>
      </w:pPr>
      <w:r>
        <w:rPr>
          <w:b/>
          <w:bCs/>
          <w:u w:val="single"/>
        </w:rPr>
        <w:t>Equation A.1</w:t>
      </w:r>
    </w:p>
    <w:p w:rsidR="00000000" w:rsidRDefault="00657A20">
      <w:pPr>
        <w:pStyle w:val="BodyText2"/>
        <w:rPr>
          <w:u w:val="single"/>
        </w:rPr>
      </w:pPr>
    </w:p>
    <w:p w:rsidR="00000000" w:rsidRDefault="00657A20">
      <w:pPr>
        <w:pStyle w:val="BodyText2"/>
        <w:spacing w:line="360" w:lineRule="auto"/>
        <w:ind w:left="1440" w:hanging="720"/>
      </w:pPr>
      <w:r>
        <w:t xml:space="preserve">A.1.2   The Taylor series expansion equation can be simplified to calculate the combined standard uncertainty in Equation A.2: </w:t>
      </w:r>
    </w:p>
    <w:p w:rsidR="00000000" w:rsidRDefault="00657A20">
      <w:pPr>
        <w:pStyle w:val="BodyText2"/>
        <w:jc w:val="center"/>
        <w:rPr>
          <w:vertAlign w:val="subscript"/>
        </w:rPr>
      </w:pPr>
      <w:r>
        <w:rPr>
          <w:i/>
        </w:rPr>
        <w:t>u</w:t>
      </w:r>
      <w:r>
        <w:rPr>
          <w:i/>
          <w:vertAlign w:val="superscript"/>
        </w:rPr>
        <w:t>2</w:t>
      </w:r>
      <w:r>
        <w:rPr>
          <w:i/>
          <w:vertAlign w:val="subscript"/>
        </w:rPr>
        <w:t>c</w:t>
      </w:r>
      <w:r>
        <w:rPr>
          <w:i/>
        </w:rPr>
        <w:t xml:space="preserve">(y)  =  </w:t>
      </w:r>
      <w:r>
        <w:rPr>
          <w:position w:val="-28"/>
        </w:rPr>
        <w:object w:dxaOrig="460" w:dyaOrig="680">
          <v:shape id="_x0000_i1028" type="#_x0000_t75" style="width:23.25pt;height:33.75pt" o:ole="">
            <v:imagedata r:id="rId7" o:title=""/>
          </v:shape>
          <o:OLEObject Type="Embed" ProgID="Equation.3" ShapeID="_x0000_i1028" DrawAspect="Content" ObjectID="_1742211762" r:id="rId13"/>
        </w:object>
      </w:r>
      <w:r>
        <w:rPr>
          <w:i/>
        </w:rPr>
        <w:t>[c</w:t>
      </w:r>
      <w:r>
        <w:rPr>
          <w:i/>
          <w:vertAlign w:val="subscript"/>
        </w:rPr>
        <w:t>1</w:t>
      </w:r>
      <w:r>
        <w:rPr>
          <w:i/>
        </w:rPr>
        <w:t>u(x</w:t>
      </w:r>
      <w:r>
        <w:rPr>
          <w:i/>
          <w:vertAlign w:val="subscript"/>
        </w:rPr>
        <w:t>1</w:t>
      </w:r>
      <w:r>
        <w:rPr>
          <w:i/>
        </w:rPr>
        <w:t>)]</w:t>
      </w:r>
      <w:r>
        <w:rPr>
          <w:i/>
          <w:vertAlign w:val="superscript"/>
        </w:rPr>
        <w:t>2</w:t>
      </w:r>
      <w:r>
        <w:rPr>
          <w:i/>
        </w:rPr>
        <w:t xml:space="preserve"> + [c</w:t>
      </w:r>
      <w:r>
        <w:rPr>
          <w:i/>
          <w:vertAlign w:val="subscript"/>
        </w:rPr>
        <w:t>2</w:t>
      </w:r>
      <w:r>
        <w:rPr>
          <w:i/>
        </w:rPr>
        <w:t>u(x</w:t>
      </w:r>
      <w:r>
        <w:rPr>
          <w:i/>
          <w:vertAlign w:val="subscript"/>
        </w:rPr>
        <w:t>2</w:t>
      </w:r>
      <w:r>
        <w:rPr>
          <w:i/>
        </w:rPr>
        <w:t>)]</w:t>
      </w:r>
      <w:r>
        <w:rPr>
          <w:i/>
          <w:vertAlign w:val="superscript"/>
        </w:rPr>
        <w:t xml:space="preserve">2 </w:t>
      </w:r>
      <w:r>
        <w:rPr>
          <w:i/>
        </w:rPr>
        <w:t>+…+[c</w:t>
      </w:r>
      <w:r>
        <w:rPr>
          <w:i/>
          <w:vertAlign w:val="subscript"/>
        </w:rPr>
        <w:t xml:space="preserve">n </w:t>
      </w:r>
      <w:r>
        <w:rPr>
          <w:i/>
        </w:rPr>
        <w:t>u(x</w:t>
      </w:r>
      <w:r>
        <w:rPr>
          <w:i/>
          <w:vertAlign w:val="subscript"/>
        </w:rPr>
        <w:t>n</w:t>
      </w:r>
      <w:r>
        <w:rPr>
          <w:i/>
        </w:rPr>
        <w:t>)]</w:t>
      </w:r>
      <w:r>
        <w:rPr>
          <w:i/>
          <w:vertAlign w:val="superscript"/>
        </w:rPr>
        <w:t>2</w:t>
      </w:r>
      <w:r>
        <w:rPr>
          <w:i/>
        </w:rPr>
        <w:t xml:space="preserve"> + 2 </w:t>
      </w:r>
      <w:r>
        <w:rPr>
          <w:position w:val="-28"/>
        </w:rPr>
        <w:object w:dxaOrig="460" w:dyaOrig="680">
          <v:shape id="_x0000_i1029" type="#_x0000_t75" style="width:23.25pt;height:33.75pt" o:ole="">
            <v:imagedata r:id="rId9" o:title=""/>
          </v:shape>
          <o:OLEObject Type="Embed" ProgID="Equation.3" ShapeID="_x0000_i1029" DrawAspect="Content" ObjectID="_1742211763" r:id="rId14"/>
        </w:object>
      </w:r>
      <w:r>
        <w:rPr>
          <w:position w:val="-30"/>
        </w:rPr>
        <w:object w:dxaOrig="520" w:dyaOrig="700">
          <v:shape id="_x0000_i1030" type="#_x0000_t75" style="width:26.25pt;height:35.25pt" o:ole="">
            <v:imagedata r:id="rId15" o:title=""/>
          </v:shape>
          <o:OLEObject Type="Embed" ProgID="Equation.3" ShapeID="_x0000_i1030" DrawAspect="Content" ObjectID="_1742211764" r:id="rId16"/>
        </w:object>
      </w:r>
      <w:r>
        <w:rPr>
          <w:i/>
        </w:rPr>
        <w:t>c</w:t>
      </w:r>
      <w:r>
        <w:rPr>
          <w:i/>
          <w:vertAlign w:val="subscript"/>
        </w:rPr>
        <w:t>i</w:t>
      </w:r>
      <w:r>
        <w:rPr>
          <w:i/>
        </w:rPr>
        <w:t>c</w:t>
      </w:r>
      <w:r>
        <w:rPr>
          <w:i/>
          <w:vertAlign w:val="subscript"/>
        </w:rPr>
        <w:t>j</w:t>
      </w:r>
      <w:r>
        <w:rPr>
          <w:i/>
        </w:rPr>
        <w:t>u(x</w:t>
      </w:r>
      <w:r>
        <w:rPr>
          <w:i/>
          <w:vertAlign w:val="subscript"/>
        </w:rPr>
        <w:t>i</w:t>
      </w:r>
      <w:r>
        <w:rPr>
          <w:i/>
        </w:rPr>
        <w:t>)u(x</w:t>
      </w:r>
      <w:r>
        <w:rPr>
          <w:i/>
          <w:vertAlign w:val="subscript"/>
        </w:rPr>
        <w:t>j</w:t>
      </w:r>
      <w:r>
        <w:rPr>
          <w:i/>
        </w:rPr>
        <w:t>)r</w:t>
      </w:r>
      <w:r>
        <w:rPr>
          <w:i/>
          <w:vertAlign w:val="subscript"/>
        </w:rPr>
        <w:t>ij</w:t>
      </w:r>
    </w:p>
    <w:p w:rsidR="00000000" w:rsidRDefault="00657A20">
      <w:pPr>
        <w:pStyle w:val="BodyText2"/>
        <w:spacing w:line="360" w:lineRule="auto"/>
        <w:rPr>
          <w:b/>
          <w:bCs/>
          <w:u w:val="single"/>
        </w:rPr>
      </w:pPr>
      <w:r>
        <w:rPr>
          <w:b/>
          <w:bCs/>
          <w:u w:val="single"/>
        </w:rPr>
        <w:t>Equation A.2</w:t>
      </w:r>
    </w:p>
    <w:p w:rsidR="00000000" w:rsidRDefault="00657A20">
      <w:pPr>
        <w:pStyle w:val="BodyText2"/>
        <w:spacing w:line="360" w:lineRule="auto"/>
        <w:ind w:left="1440"/>
      </w:pPr>
      <w:r>
        <w:t xml:space="preserve">The symbol </w:t>
      </w:r>
      <w:r>
        <w:rPr>
          <w:i/>
        </w:rPr>
        <w:t>c</w:t>
      </w:r>
      <w:r>
        <w:rPr>
          <w:i/>
          <w:vertAlign w:val="subscript"/>
        </w:rPr>
        <w:t xml:space="preserve">i </w:t>
      </w:r>
      <w:r>
        <w:t xml:space="preserve">represents </w:t>
      </w:r>
      <w:r>
        <w:rPr>
          <w:i/>
        </w:rPr>
        <w:sym w:font="Symbol" w:char="00B6"/>
      </w:r>
      <w:r>
        <w:rPr>
          <w:i/>
        </w:rPr>
        <w:t xml:space="preserve"> f /</w:t>
      </w:r>
      <w:r>
        <w:rPr>
          <w:i/>
        </w:rPr>
        <w:sym w:font="Symbol" w:char="00B6"/>
      </w:r>
      <w:r>
        <w:rPr>
          <w:i/>
        </w:rPr>
        <w:t xml:space="preserve"> x</w:t>
      </w:r>
      <w:r>
        <w:rPr>
          <w:i/>
          <w:vertAlign w:val="subscript"/>
        </w:rPr>
        <w:t xml:space="preserve">i </w:t>
      </w:r>
      <w:r>
        <w:rPr>
          <w:i/>
        </w:rPr>
        <w:t xml:space="preserve">, </w:t>
      </w:r>
      <w:r>
        <w:t xml:space="preserve">symbol </w:t>
      </w:r>
      <w:r>
        <w:rPr>
          <w:i/>
        </w:rPr>
        <w:t>r</w:t>
      </w:r>
      <w:r>
        <w:rPr>
          <w:i/>
          <w:vertAlign w:val="subscript"/>
        </w:rPr>
        <w:t>ij</w:t>
      </w:r>
      <w:r>
        <w:rPr>
          <w:vertAlign w:val="subscript"/>
        </w:rPr>
        <w:t xml:space="preserve">  </w:t>
      </w:r>
      <w:r>
        <w:t xml:space="preserve"> represents the correlation of </w:t>
      </w:r>
      <w:r>
        <w:rPr>
          <w:i/>
        </w:rPr>
        <w:t>x</w:t>
      </w:r>
      <w:r>
        <w:rPr>
          <w:i/>
          <w:vertAlign w:val="subscript"/>
        </w:rPr>
        <w:t xml:space="preserve">i </w:t>
      </w:r>
      <w:r>
        <w:t xml:space="preserve">and </w:t>
      </w:r>
      <w:r>
        <w:rPr>
          <w:i/>
        </w:rPr>
        <w:t>x</w:t>
      </w:r>
      <w:r>
        <w:rPr>
          <w:i/>
          <w:vertAlign w:val="subscript"/>
        </w:rPr>
        <w:t>j</w:t>
      </w:r>
      <w:r>
        <w:t xml:space="preserve">. The second term is the co-variance associated with </w:t>
      </w:r>
      <w:r>
        <w:rPr>
          <w:i/>
        </w:rPr>
        <w:t>x</w:t>
      </w:r>
      <w:r>
        <w:rPr>
          <w:i/>
          <w:vertAlign w:val="subscript"/>
        </w:rPr>
        <w:t xml:space="preserve">i  </w:t>
      </w:r>
      <w:r>
        <w:t xml:space="preserve">and </w:t>
      </w:r>
      <w:r>
        <w:rPr>
          <w:i/>
        </w:rPr>
        <w:t>x</w:t>
      </w:r>
      <w:r>
        <w:rPr>
          <w:i/>
          <w:vertAlign w:val="subscript"/>
        </w:rPr>
        <w:t xml:space="preserve">j  </w:t>
      </w:r>
      <w:r>
        <w:rPr>
          <w:i/>
        </w:rPr>
        <w:t>.</w:t>
      </w:r>
      <w:r>
        <w:rPr>
          <w:i/>
          <w:vertAlign w:val="subscript"/>
        </w:rPr>
        <w:t xml:space="preserve"> </w:t>
      </w:r>
      <w:r>
        <w:rPr>
          <w:color w:val="auto"/>
        </w:rPr>
        <w:t>The estimated co-variances or the estimated co</w:t>
      </w:r>
      <w:r>
        <w:rPr>
          <w:color w:val="auto"/>
        </w:rPr>
        <w:t xml:space="preserve">rrelation coefficients are required if the variable </w:t>
      </w:r>
      <w:r>
        <w:rPr>
          <w:i/>
        </w:rPr>
        <w:t>x</w:t>
      </w:r>
      <w:r>
        <w:rPr>
          <w:i/>
          <w:vertAlign w:val="subscript"/>
        </w:rPr>
        <w:t>i</w:t>
      </w:r>
      <w:r>
        <w:rPr>
          <w:color w:val="auto"/>
        </w:rPr>
        <w:t xml:space="preserve"> and </w:t>
      </w:r>
      <w:r>
        <w:rPr>
          <w:i/>
          <w:color w:val="auto"/>
        </w:rPr>
        <w:t>x</w:t>
      </w:r>
      <w:r>
        <w:rPr>
          <w:i/>
          <w:color w:val="auto"/>
          <w:vertAlign w:val="subscript"/>
        </w:rPr>
        <w:t>j</w:t>
      </w:r>
      <w:r>
        <w:rPr>
          <w:color w:val="auto"/>
        </w:rPr>
        <w:t xml:space="preserve"> components are dependent. If the variable </w:t>
      </w:r>
      <w:r>
        <w:rPr>
          <w:i/>
        </w:rPr>
        <w:t>x</w:t>
      </w:r>
      <w:r>
        <w:rPr>
          <w:i/>
          <w:vertAlign w:val="subscript"/>
        </w:rPr>
        <w:t>i</w:t>
      </w:r>
      <w:r>
        <w:rPr>
          <w:color w:val="auto"/>
        </w:rPr>
        <w:t xml:space="preserve"> and </w:t>
      </w:r>
      <w:r>
        <w:rPr>
          <w:i/>
          <w:color w:val="auto"/>
        </w:rPr>
        <w:t>x</w:t>
      </w:r>
      <w:r>
        <w:rPr>
          <w:i/>
          <w:color w:val="auto"/>
          <w:vertAlign w:val="subscript"/>
        </w:rPr>
        <w:t>j</w:t>
      </w:r>
      <w:r>
        <w:rPr>
          <w:color w:val="auto"/>
        </w:rPr>
        <w:t xml:space="preserve"> are independent, then the co-variant term is equal to zero and the co-variant term drops out of the equation.  </w:t>
      </w:r>
      <w:r>
        <w:t>The combined standard uncertain</w:t>
      </w:r>
      <w:r>
        <w:t>ty estimate</w:t>
      </w:r>
      <w:r>
        <w:rPr>
          <w:i/>
        </w:rPr>
        <w:t xml:space="preserve"> u</w:t>
      </w:r>
      <w:r>
        <w:rPr>
          <w:i/>
          <w:vertAlign w:val="subscript"/>
        </w:rPr>
        <w:t>c</w:t>
      </w:r>
      <w:r>
        <w:t xml:space="preserve"> uses the quadrature equation or “square-root-sum-of-squares” method for combining the standard uncertainties.  This equation is the law of propagation of uncertainty. </w:t>
      </w:r>
    </w:p>
    <w:p w:rsidR="00000000" w:rsidRDefault="00657A20">
      <w:pPr>
        <w:pStyle w:val="BodyText2"/>
        <w:spacing w:line="360" w:lineRule="auto"/>
        <w:ind w:left="1440" w:hanging="720"/>
      </w:pPr>
      <w:r>
        <w:t xml:space="preserve">A.1.3   There two primary approaches for applying the law of propagation </w:t>
      </w:r>
      <w:r>
        <w:t xml:space="preserve">of uncertainty: additive and multiplicative.  </w:t>
      </w:r>
    </w:p>
    <w:p w:rsidR="00000000" w:rsidRDefault="00657A20">
      <w:pPr>
        <w:pStyle w:val="BodyText2"/>
        <w:spacing w:line="360" w:lineRule="auto"/>
        <w:ind w:left="1440" w:hanging="720"/>
      </w:pPr>
      <w:r>
        <w:t xml:space="preserve">A.14    If </w:t>
      </w:r>
      <w:r>
        <w:rPr>
          <w:i/>
        </w:rPr>
        <w:t>y</w:t>
      </w:r>
      <w:r>
        <w:t xml:space="preserve"> is an additive function of </w:t>
      </w:r>
      <w:r>
        <w:rPr>
          <w:i/>
        </w:rPr>
        <w:t>x</w:t>
      </w:r>
      <w:r>
        <w:rPr>
          <w:i/>
          <w:vertAlign w:val="subscript"/>
        </w:rPr>
        <w:t xml:space="preserve">1 </w:t>
      </w:r>
      <w:r>
        <w:rPr>
          <w:i/>
        </w:rPr>
        <w:t xml:space="preserve">, </w:t>
      </w:r>
      <w:r>
        <w:rPr>
          <w:i/>
          <w:vertAlign w:val="subscript"/>
        </w:rPr>
        <w:t xml:space="preserve"> </w:t>
      </w:r>
      <w:r>
        <w:rPr>
          <w:i/>
        </w:rPr>
        <w:t>x</w:t>
      </w:r>
      <w:r>
        <w:rPr>
          <w:i/>
          <w:vertAlign w:val="subscript"/>
        </w:rPr>
        <w:t xml:space="preserve">2 </w:t>
      </w:r>
      <w:r>
        <w:rPr>
          <w:i/>
        </w:rPr>
        <w:t>,…x</w:t>
      </w:r>
      <w:r>
        <w:rPr>
          <w:i/>
          <w:vertAlign w:val="subscript"/>
        </w:rPr>
        <w:t xml:space="preserve">n </w:t>
      </w:r>
      <w:r>
        <w:t>, then Equation A.3 is used:</w:t>
      </w:r>
    </w:p>
    <w:p w:rsidR="00000000" w:rsidRDefault="00657A20">
      <w:pPr>
        <w:pStyle w:val="BodyText"/>
        <w:spacing w:line="360" w:lineRule="auto"/>
        <w:jc w:val="center"/>
      </w:pPr>
      <w:r>
        <w:rPr>
          <w:i/>
        </w:rPr>
        <w:tab/>
      </w:r>
      <w:r>
        <w:rPr>
          <w:position w:val="-16"/>
        </w:rPr>
        <w:object w:dxaOrig="5080" w:dyaOrig="480">
          <v:shape id="_x0000_i1031" type="#_x0000_t75" style="width:254.25pt;height:24pt" o:ole="" fillcolor="window">
            <v:imagedata r:id="rId17" o:title=""/>
          </v:shape>
          <o:OLEObject Type="Embed" ProgID="Equation.3" ShapeID="_x0000_i1031" DrawAspect="Content" ObjectID="_1742211765" r:id="rId18"/>
        </w:object>
      </w:r>
    </w:p>
    <w:p w:rsidR="00000000" w:rsidRDefault="00657A20">
      <w:pPr>
        <w:pStyle w:val="BodyText2"/>
        <w:spacing w:line="360" w:lineRule="auto"/>
        <w:rPr>
          <w:b/>
          <w:bCs/>
          <w:u w:val="single"/>
        </w:rPr>
      </w:pPr>
      <w:r>
        <w:rPr>
          <w:b/>
          <w:bCs/>
          <w:u w:val="single"/>
        </w:rPr>
        <w:t>Equation A.3</w:t>
      </w:r>
    </w:p>
    <w:p w:rsidR="00000000" w:rsidRDefault="00657A20">
      <w:pPr>
        <w:pStyle w:val="BodyText2"/>
        <w:spacing w:line="360" w:lineRule="auto"/>
        <w:ind w:left="1440" w:hanging="720"/>
      </w:pPr>
      <w:r>
        <w:t xml:space="preserve">A.1.5   If </w:t>
      </w:r>
      <w:r>
        <w:rPr>
          <w:i/>
        </w:rPr>
        <w:t>y</w:t>
      </w:r>
      <w:r>
        <w:t xml:space="preserve"> is a multiplicative function of </w:t>
      </w:r>
      <w:r>
        <w:rPr>
          <w:i/>
        </w:rPr>
        <w:t>x</w:t>
      </w:r>
      <w:r>
        <w:rPr>
          <w:i/>
          <w:vertAlign w:val="subscript"/>
        </w:rPr>
        <w:t xml:space="preserve">1 </w:t>
      </w:r>
      <w:r>
        <w:rPr>
          <w:i/>
        </w:rPr>
        <w:t xml:space="preserve">, </w:t>
      </w:r>
      <w:r>
        <w:rPr>
          <w:i/>
          <w:vertAlign w:val="subscript"/>
        </w:rPr>
        <w:t xml:space="preserve"> </w:t>
      </w:r>
      <w:r>
        <w:rPr>
          <w:i/>
        </w:rPr>
        <w:t>x</w:t>
      </w:r>
      <w:r>
        <w:rPr>
          <w:i/>
          <w:vertAlign w:val="subscript"/>
        </w:rPr>
        <w:t xml:space="preserve">2 </w:t>
      </w:r>
      <w:r>
        <w:rPr>
          <w:i/>
        </w:rPr>
        <w:t>,…x</w:t>
      </w:r>
      <w:r>
        <w:rPr>
          <w:i/>
          <w:vertAlign w:val="subscript"/>
        </w:rPr>
        <w:t>n</w:t>
      </w:r>
      <w:r>
        <w:t xml:space="preserve">, then Equation A.4 is used to </w:t>
      </w:r>
      <w:r>
        <w:t xml:space="preserve">determine the relative combined standard uncertainty </w:t>
      </w:r>
      <w:r>
        <w:rPr>
          <w:i/>
        </w:rPr>
        <w:t>u</w:t>
      </w:r>
      <w:r>
        <w:rPr>
          <w:i/>
          <w:vertAlign w:val="subscript"/>
        </w:rPr>
        <w:t>c,r</w:t>
      </w:r>
      <w:r>
        <w:t xml:space="preserve"> where </w:t>
      </w:r>
      <w:r>
        <w:rPr>
          <w:i/>
        </w:rPr>
        <w:t xml:space="preserve">y </w:t>
      </w:r>
      <w:r>
        <w:rPr>
          <w:i/>
        </w:rPr>
        <w:sym w:font="Symbol" w:char="00B9"/>
      </w:r>
      <w:r>
        <w:rPr>
          <w:i/>
        </w:rPr>
        <w:t xml:space="preserve"> 0</w:t>
      </w:r>
      <w:r>
        <w:t xml:space="preserve"> and </w:t>
      </w:r>
      <w:r>
        <w:rPr>
          <w:i/>
        </w:rPr>
        <w:t>|y|</w:t>
      </w:r>
      <w:r>
        <w:t xml:space="preserve"> is the absolute value of </w:t>
      </w:r>
      <w:r>
        <w:rPr>
          <w:i/>
        </w:rPr>
        <w:t>y</w:t>
      </w:r>
      <w:r>
        <w:t xml:space="preserve">: </w:t>
      </w:r>
    </w:p>
    <w:p w:rsidR="00000000" w:rsidRDefault="00657A20">
      <w:pPr>
        <w:pStyle w:val="BodyText"/>
        <w:spacing w:line="360" w:lineRule="auto"/>
        <w:jc w:val="center"/>
      </w:pPr>
      <w:r>
        <w:rPr>
          <w:i/>
        </w:rPr>
        <w:tab/>
      </w:r>
      <w:r>
        <w:rPr>
          <w:position w:val="-16"/>
        </w:rPr>
        <w:object w:dxaOrig="7760" w:dyaOrig="480">
          <v:shape id="_x0000_i1032" type="#_x0000_t75" style="width:387.75pt;height:24pt" o:ole="" fillcolor="window">
            <v:imagedata r:id="rId19" o:title=""/>
          </v:shape>
          <o:OLEObject Type="Embed" ProgID="Equation.3" ShapeID="_x0000_i1032" DrawAspect="Content" ObjectID="_1742211766" r:id="rId20"/>
        </w:object>
      </w:r>
    </w:p>
    <w:p w:rsidR="00000000" w:rsidRDefault="00657A20">
      <w:pPr>
        <w:pStyle w:val="BodyText2"/>
        <w:spacing w:line="360" w:lineRule="auto"/>
        <w:rPr>
          <w:b/>
          <w:bCs/>
          <w:u w:val="single"/>
        </w:rPr>
      </w:pPr>
      <w:r>
        <w:rPr>
          <w:b/>
          <w:bCs/>
          <w:u w:val="single"/>
        </w:rPr>
        <w:t>Equation A.4</w:t>
      </w:r>
    </w:p>
    <w:p w:rsidR="00000000" w:rsidRDefault="00657A20">
      <w:pPr>
        <w:pStyle w:val="BodyText3"/>
        <w:widowControl/>
        <w:tabs>
          <w:tab w:val="left" w:pos="1440"/>
        </w:tabs>
        <w:autoSpaceDE/>
        <w:adjustRightInd/>
        <w:spacing w:line="360" w:lineRule="auto"/>
        <w:ind w:left="1440" w:hanging="720"/>
      </w:pPr>
      <w:r>
        <w:lastRenderedPageBreak/>
        <w:t>A.1.6   The QC-based Nested Approach Spreadsheet is based on multiplicative combination of component efficiencie</w:t>
      </w:r>
      <w:r>
        <w:t>s; therefore Equation A.5 is used to estimate analytical measurement uncertainty.</w:t>
      </w:r>
    </w:p>
    <w:p w:rsidR="00000000" w:rsidRDefault="00657A20">
      <w:pPr>
        <w:pStyle w:val="BodyText"/>
        <w:spacing w:line="360" w:lineRule="auto"/>
        <w:ind w:left="720" w:hanging="720"/>
      </w:pPr>
      <w:r>
        <w:t xml:space="preserve">A.2      The QC-based Nested Approach for Estimating Analytical Measurement Uncertainty is an automated system for calculating analytical measurement uncertainty. </w:t>
      </w:r>
    </w:p>
    <w:p w:rsidR="00000000" w:rsidRDefault="00657A20">
      <w:pPr>
        <w:pStyle w:val="BodyText"/>
        <w:spacing w:line="360" w:lineRule="auto"/>
        <w:ind w:left="1440" w:hanging="720"/>
      </w:pPr>
      <w:r>
        <w:t>A.2.1   Th</w:t>
      </w:r>
      <w:r>
        <w:t xml:space="preserve">e data inputted into the Microsoft Excel QC-based Nested Approach Spreadsheet are the percent deviation of the Quality Control Chart data.  </w:t>
      </w:r>
    </w:p>
    <w:p w:rsidR="00000000" w:rsidRDefault="00657A20">
      <w:pPr>
        <w:pStyle w:val="BodyText"/>
        <w:spacing w:line="360" w:lineRule="auto"/>
        <w:ind w:left="1440" w:hanging="720"/>
      </w:pPr>
      <w:r>
        <w:t>A.2.2    The ICS, ICV, LCS, and MIS standards are used to calculate analytical measurement uncertainty for the labo</w:t>
      </w:r>
      <w:r>
        <w:t xml:space="preserve">ratory.  </w:t>
      </w:r>
    </w:p>
    <w:p w:rsidR="00000000" w:rsidRDefault="00657A20">
      <w:pPr>
        <w:pStyle w:val="BodyText"/>
        <w:spacing w:line="360" w:lineRule="auto"/>
        <w:ind w:left="1440" w:hanging="720"/>
      </w:pPr>
      <w:r>
        <w:t xml:space="preserve">A.2.3    Calculate the percent deviation </w:t>
      </w:r>
      <w:r>
        <w:rPr>
          <w:i/>
          <w:iCs/>
        </w:rPr>
        <w:t>(%D)</w:t>
      </w:r>
      <w:r>
        <w:t xml:space="preserve"> by subtracting the reference analyte concentration </w:t>
      </w:r>
      <w:r>
        <w:rPr>
          <w:i/>
          <w:iCs/>
        </w:rPr>
        <w:t>(T)</w:t>
      </w:r>
      <w:r>
        <w:t xml:space="preserve"> from the each individual analytical measurement </w:t>
      </w:r>
      <w:r>
        <w:rPr>
          <w:i/>
          <w:iCs/>
        </w:rPr>
        <w:t>(X</w:t>
      </w:r>
      <w:r>
        <w:rPr>
          <w:i/>
          <w:iCs/>
          <w:vertAlign w:val="subscript"/>
        </w:rPr>
        <w:t>i</w:t>
      </w:r>
      <w:r>
        <w:rPr>
          <w:i/>
          <w:iCs/>
        </w:rPr>
        <w:t>),</w:t>
      </w:r>
      <w:r>
        <w:t xml:space="preserve"> divide the difference by </w:t>
      </w:r>
      <w:r>
        <w:rPr>
          <w:i/>
          <w:iCs/>
        </w:rPr>
        <w:t xml:space="preserve">T, </w:t>
      </w:r>
      <w:r>
        <w:t>and multiplying the quotient by 100 in Equation A.5:</w:t>
      </w:r>
    </w:p>
    <w:p w:rsidR="00000000" w:rsidRDefault="00657A20">
      <w:pPr>
        <w:pStyle w:val="BodyText"/>
        <w:spacing w:line="360" w:lineRule="auto"/>
        <w:jc w:val="center"/>
      </w:pPr>
      <w:r>
        <w:rPr>
          <w:position w:val="-30"/>
        </w:rPr>
        <w:object w:dxaOrig="2440" w:dyaOrig="720">
          <v:shape id="_x0000_i1033" type="#_x0000_t75" style="width:122.25pt;height:36pt" o:ole="" fillcolor="window">
            <v:imagedata r:id="rId21" o:title=""/>
          </v:shape>
          <o:OLEObject Type="Embed" ProgID="Equation.3" ShapeID="_x0000_i1033" DrawAspect="Content" ObjectID="_1742211767" r:id="rId22"/>
        </w:object>
      </w:r>
    </w:p>
    <w:p w:rsidR="00000000" w:rsidRDefault="00657A20">
      <w:pPr>
        <w:pStyle w:val="BodyText"/>
        <w:spacing w:line="360" w:lineRule="auto"/>
        <w:rPr>
          <w:b/>
          <w:bCs/>
          <w:u w:val="single"/>
        </w:rPr>
      </w:pPr>
      <w:r>
        <w:rPr>
          <w:b/>
          <w:bCs/>
          <w:u w:val="single"/>
        </w:rPr>
        <w:t>Equation A.5</w:t>
      </w:r>
    </w:p>
    <w:p w:rsidR="00000000" w:rsidRDefault="00657A20">
      <w:pPr>
        <w:pStyle w:val="BodyText"/>
        <w:spacing w:line="360" w:lineRule="auto"/>
        <w:ind w:left="1440" w:hanging="720"/>
      </w:pPr>
      <w:r>
        <w:t xml:space="preserve">A.2.4   On page 1 input the </w:t>
      </w:r>
      <w:r>
        <w:rPr>
          <w:i/>
          <w:iCs/>
        </w:rPr>
        <w:t>%D</w:t>
      </w:r>
      <w:r>
        <w:t xml:space="preserve"> of 20 Quality Control analytical measurements for the ICS, ICV, LCS and MIS in the appropriate column of the spreadsheet.  </w:t>
      </w:r>
    </w:p>
    <w:p w:rsidR="00000000" w:rsidRDefault="00657A20">
      <w:pPr>
        <w:pStyle w:val="BodyText"/>
        <w:spacing w:line="360" w:lineRule="auto"/>
        <w:ind w:left="1440" w:hanging="720"/>
      </w:pPr>
      <w:r>
        <w:t>A.2.5    On page 1, when the data is inputted, the spreadsheet automaticall</w:t>
      </w:r>
      <w:r>
        <w:t>y calculates:</w:t>
      </w:r>
    </w:p>
    <w:p w:rsidR="00000000" w:rsidRDefault="00657A20" w:rsidP="00657A20">
      <w:pPr>
        <w:pStyle w:val="BodyText"/>
        <w:numPr>
          <w:ilvl w:val="0"/>
          <w:numId w:val="12"/>
        </w:numPr>
        <w:tabs>
          <w:tab w:val="left" w:pos="2160"/>
        </w:tabs>
        <w:spacing w:line="360" w:lineRule="auto"/>
      </w:pPr>
      <w:r>
        <w:t>Relative standard uncertainty (</w:t>
      </w:r>
      <w:r>
        <w:rPr>
          <w:i/>
          <w:iCs/>
        </w:rPr>
        <w:t>u</w:t>
      </w:r>
      <w:r>
        <w:rPr>
          <w:i/>
          <w:iCs/>
          <w:vertAlign w:val="subscript"/>
        </w:rPr>
        <w:t>r</w:t>
      </w:r>
      <w:r>
        <w:t>) of the 20 (</w:t>
      </w:r>
      <w:r>
        <w:rPr>
          <w:i/>
          <w:iCs/>
        </w:rPr>
        <w:t>n</w:t>
      </w:r>
      <w:r>
        <w:t xml:space="preserve">) individual </w:t>
      </w:r>
      <w:r>
        <w:rPr>
          <w:i/>
          <w:iCs/>
        </w:rPr>
        <w:t>%D</w:t>
      </w:r>
      <w:r>
        <w:rPr>
          <w:i/>
          <w:iCs/>
          <w:vertAlign w:val="subscript"/>
        </w:rPr>
        <w:t>i</w:t>
      </w:r>
      <w:r>
        <w:t xml:space="preserve"> results  </w:t>
      </w:r>
    </w:p>
    <w:p w:rsidR="00000000" w:rsidRDefault="00657A20" w:rsidP="00657A20">
      <w:pPr>
        <w:pStyle w:val="BodyText"/>
        <w:numPr>
          <w:ilvl w:val="0"/>
          <w:numId w:val="12"/>
        </w:numPr>
        <w:tabs>
          <w:tab w:val="left" w:pos="2160"/>
        </w:tabs>
        <w:spacing w:line="360" w:lineRule="auto"/>
      </w:pPr>
      <w:r>
        <w:t>Average bias (%</w:t>
      </w:r>
      <w:r>
        <w:rPr>
          <w:position w:val="-4"/>
        </w:rPr>
        <w:object w:dxaOrig="240" w:dyaOrig="320">
          <v:shape id="_x0000_i1034" type="#_x0000_t75" style="width:12pt;height:15.75pt" o:ole="" fillcolor="window">
            <v:imagedata r:id="rId23" o:title=""/>
          </v:shape>
          <o:OLEObject Type="Embed" ProgID="Equation.3" ShapeID="_x0000_i1034" DrawAspect="Content" ObjectID="_1742211768" r:id="rId24"/>
        </w:object>
      </w:r>
      <w:r>
        <w:t>) based on the average (%</w:t>
      </w:r>
      <w:r>
        <w:rPr>
          <w:position w:val="-4"/>
        </w:rPr>
        <w:object w:dxaOrig="260" w:dyaOrig="320">
          <v:shape id="_x0000_i1035" type="#_x0000_t75" style="width:12.75pt;height:15.75pt" o:ole="" fillcolor="window">
            <v:imagedata r:id="rId25" o:title=""/>
          </v:shape>
          <o:OLEObject Type="Embed" ProgID="Equation.3" ShapeID="_x0000_i1035" DrawAspect="Content" ObjectID="_1742211769" r:id="rId26"/>
        </w:object>
      </w:r>
      <w:r>
        <w:rPr>
          <w:i/>
          <w:iCs/>
        </w:rPr>
        <w:t xml:space="preserve">) </w:t>
      </w:r>
      <w:r>
        <w:t xml:space="preserve">of the </w:t>
      </w:r>
      <w:r>
        <w:rPr>
          <w:i/>
          <w:iCs/>
        </w:rPr>
        <w:t>n</w:t>
      </w:r>
      <w:r>
        <w:t xml:space="preserve"> individual </w:t>
      </w:r>
      <w:r>
        <w:rPr>
          <w:i/>
          <w:iCs/>
        </w:rPr>
        <w:t>%D</w:t>
      </w:r>
      <w:r>
        <w:rPr>
          <w:i/>
          <w:iCs/>
          <w:vertAlign w:val="subscript"/>
        </w:rPr>
        <w:t>i</w:t>
      </w:r>
      <w:r>
        <w:t xml:space="preserve"> results </w:t>
      </w:r>
    </w:p>
    <w:p w:rsidR="00000000" w:rsidRDefault="00657A20" w:rsidP="00657A20">
      <w:pPr>
        <w:pStyle w:val="BodyText"/>
        <w:numPr>
          <w:ilvl w:val="0"/>
          <w:numId w:val="12"/>
        </w:numPr>
        <w:tabs>
          <w:tab w:val="left" w:pos="2160"/>
        </w:tabs>
        <w:spacing w:line="360" w:lineRule="auto"/>
      </w:pPr>
      <w:r>
        <w:t>Average recovery (%</w:t>
      </w:r>
      <w:r>
        <w:rPr>
          <w:position w:val="-4"/>
        </w:rPr>
        <w:object w:dxaOrig="240" w:dyaOrig="320">
          <v:shape id="_x0000_i1036" type="#_x0000_t75" style="width:12pt;height:15.75pt" o:ole="" fillcolor="window">
            <v:imagedata r:id="rId27" o:title=""/>
          </v:shape>
          <o:OLEObject Type="Embed" ProgID="Equation.3" ShapeID="_x0000_i1036" DrawAspect="Content" ObjectID="_1742211770" r:id="rId28"/>
        </w:object>
      </w:r>
      <w:r>
        <w:t>)</w:t>
      </w:r>
      <w:r>
        <w:rPr>
          <w:i/>
          <w:iCs/>
        </w:rPr>
        <w:t xml:space="preserve"> </w:t>
      </w:r>
      <w:r>
        <w:t>of the</w:t>
      </w:r>
      <w:r>
        <w:t xml:space="preserve"> </w:t>
      </w:r>
      <w:r>
        <w:rPr>
          <w:i/>
          <w:iCs/>
        </w:rPr>
        <w:t>n</w:t>
      </w:r>
      <w:r>
        <w:t xml:space="preserve"> individual </w:t>
      </w:r>
      <w:r>
        <w:rPr>
          <w:i/>
          <w:iCs/>
        </w:rPr>
        <w:t>%D</w:t>
      </w:r>
      <w:r>
        <w:rPr>
          <w:i/>
          <w:iCs/>
          <w:vertAlign w:val="subscript"/>
        </w:rPr>
        <w:t>i</w:t>
      </w:r>
      <w:r>
        <w:rPr>
          <w:i/>
          <w:iCs/>
        </w:rPr>
        <w:t xml:space="preserve"> </w:t>
      </w:r>
      <w:r>
        <w:t>results</w:t>
      </w:r>
    </w:p>
    <w:p w:rsidR="00000000" w:rsidRDefault="00657A20">
      <w:pPr>
        <w:pStyle w:val="BodyText"/>
        <w:spacing w:line="360" w:lineRule="auto"/>
        <w:ind w:left="720" w:firstLine="720"/>
      </w:pPr>
      <w:r>
        <w:t>The following equations are used to calculate:</w:t>
      </w:r>
    </w:p>
    <w:p w:rsidR="00000000" w:rsidRDefault="00657A20" w:rsidP="00657A20">
      <w:pPr>
        <w:pStyle w:val="BodyText"/>
        <w:numPr>
          <w:ilvl w:val="0"/>
          <w:numId w:val="13"/>
        </w:numPr>
        <w:spacing w:line="360" w:lineRule="auto"/>
      </w:pPr>
      <w:r>
        <w:rPr>
          <w:position w:val="-4"/>
        </w:rPr>
        <w:t>%</w:t>
      </w:r>
      <w:r>
        <w:rPr>
          <w:position w:val="-4"/>
        </w:rPr>
        <w:object w:dxaOrig="240" w:dyaOrig="320">
          <v:shape id="_x0000_i1037" type="#_x0000_t75" style="width:12pt;height:15.75pt" o:ole="" fillcolor="window">
            <v:imagedata r:id="rId29" o:title=""/>
          </v:shape>
          <o:OLEObject Type="Embed" ProgID="Equation.3" ShapeID="_x0000_i1037" DrawAspect="Content" ObjectID="_1742211771" r:id="rId30"/>
        </w:object>
      </w:r>
      <w:r>
        <w:t xml:space="preserve"> in Equation A.6 </w:t>
      </w:r>
    </w:p>
    <w:p w:rsidR="00000000" w:rsidRDefault="00657A20" w:rsidP="00657A20">
      <w:pPr>
        <w:pStyle w:val="BodyText"/>
        <w:numPr>
          <w:ilvl w:val="0"/>
          <w:numId w:val="13"/>
        </w:numPr>
        <w:spacing w:line="360" w:lineRule="auto"/>
      </w:pPr>
      <w:r>
        <w:rPr>
          <w:position w:val="-4"/>
        </w:rPr>
        <w:t>%</w:t>
      </w:r>
      <w:r>
        <w:rPr>
          <w:position w:val="-4"/>
        </w:rPr>
        <w:object w:dxaOrig="240" w:dyaOrig="320">
          <v:shape id="_x0000_i1038" type="#_x0000_t75" style="width:12pt;height:15.75pt" o:ole="" fillcolor="window">
            <v:imagedata r:id="rId31" o:title=""/>
          </v:shape>
          <o:OLEObject Type="Embed" ProgID="Equation.3" ShapeID="_x0000_i1038" DrawAspect="Content" ObjectID="_1742211772" r:id="rId32"/>
        </w:object>
      </w:r>
      <w:r>
        <w:t>in Equation A.7</w:t>
      </w:r>
    </w:p>
    <w:p w:rsidR="00000000" w:rsidRDefault="00657A20" w:rsidP="00657A20">
      <w:pPr>
        <w:pStyle w:val="BodyText"/>
        <w:numPr>
          <w:ilvl w:val="0"/>
          <w:numId w:val="13"/>
        </w:numPr>
        <w:spacing w:line="360" w:lineRule="auto"/>
      </w:pPr>
      <w:r>
        <w:rPr>
          <w:i/>
          <w:iCs/>
        </w:rPr>
        <w:t xml:space="preserve"> u</w:t>
      </w:r>
      <w:r>
        <w:rPr>
          <w:i/>
          <w:iCs/>
          <w:vertAlign w:val="subscript"/>
        </w:rPr>
        <w:t>r</w:t>
      </w:r>
      <w:r>
        <w:rPr>
          <w:i/>
          <w:iCs/>
        </w:rPr>
        <w:t xml:space="preserve"> </w:t>
      </w:r>
      <w:r>
        <w:t>in Equation A.8</w:t>
      </w:r>
    </w:p>
    <w:p w:rsidR="00000000" w:rsidRDefault="00657A20">
      <w:pPr>
        <w:pStyle w:val="BodyText"/>
        <w:jc w:val="center"/>
      </w:pPr>
      <w:r>
        <w:t>%</w:t>
      </w:r>
      <w:r>
        <w:rPr>
          <w:position w:val="-30"/>
        </w:rPr>
        <w:object w:dxaOrig="3680" w:dyaOrig="720">
          <v:shape id="_x0000_i1039" type="#_x0000_t75" style="width:183.75pt;height:36pt" o:ole="" fillcolor="window">
            <v:imagedata r:id="rId33" o:title=""/>
          </v:shape>
          <o:OLEObject Type="Embed" ProgID="Equation.3" ShapeID="_x0000_i1039" DrawAspect="Content" ObjectID="_1742211773" r:id="rId34"/>
        </w:object>
      </w:r>
    </w:p>
    <w:p w:rsidR="00000000" w:rsidRDefault="00657A20">
      <w:pPr>
        <w:pStyle w:val="BodyText"/>
        <w:rPr>
          <w:b/>
          <w:bCs/>
          <w:u w:val="single"/>
        </w:rPr>
      </w:pPr>
      <w:r>
        <w:rPr>
          <w:b/>
          <w:bCs/>
          <w:u w:val="single"/>
        </w:rPr>
        <w:t>Equation A.6</w:t>
      </w:r>
    </w:p>
    <w:p w:rsidR="00000000" w:rsidRDefault="00657A20">
      <w:pPr>
        <w:pStyle w:val="BodyText"/>
        <w:jc w:val="center"/>
      </w:pPr>
      <w:r>
        <w:rPr>
          <w:position w:val="-10"/>
        </w:rPr>
        <w:object w:dxaOrig="1760" w:dyaOrig="380">
          <v:shape id="_x0000_i1040" type="#_x0000_t75" style="width:87.75pt;height:18.75pt" o:ole="" fillcolor="window">
            <v:imagedata r:id="rId35" o:title=""/>
          </v:shape>
          <o:OLEObject Type="Embed" ProgID="Equation.3" ShapeID="_x0000_i1040" DrawAspect="Content" ObjectID="_1742211774" r:id="rId36"/>
        </w:object>
      </w:r>
    </w:p>
    <w:p w:rsidR="00000000" w:rsidRDefault="00657A20">
      <w:pPr>
        <w:pStyle w:val="BodyText"/>
        <w:rPr>
          <w:b/>
          <w:bCs/>
          <w:u w:val="single"/>
        </w:rPr>
      </w:pPr>
      <w:r>
        <w:rPr>
          <w:b/>
          <w:bCs/>
          <w:u w:val="single"/>
        </w:rPr>
        <w:t>Equation A.7</w:t>
      </w:r>
    </w:p>
    <w:p w:rsidR="00000000" w:rsidRDefault="00657A20">
      <w:pPr>
        <w:pStyle w:val="BodyText"/>
        <w:spacing w:line="360" w:lineRule="auto"/>
        <w:jc w:val="center"/>
        <w:rPr>
          <w:position w:val="-60"/>
        </w:rPr>
      </w:pPr>
      <w:r>
        <w:rPr>
          <w:position w:val="-68"/>
        </w:rPr>
        <w:object w:dxaOrig="2640" w:dyaOrig="1520">
          <v:shape id="_x0000_i1041" type="#_x0000_t75" style="width:132pt;height:75.75pt" o:ole="" fillcolor="window">
            <v:imagedata r:id="rId37" o:title=""/>
          </v:shape>
          <o:OLEObject Type="Embed" ProgID="Equation.3" ShapeID="_x0000_i1041" DrawAspect="Content" ObjectID="_1742211775" r:id="rId38"/>
        </w:object>
      </w:r>
    </w:p>
    <w:p w:rsidR="00000000" w:rsidRDefault="00657A20">
      <w:pPr>
        <w:pStyle w:val="BodyText"/>
        <w:spacing w:line="360" w:lineRule="auto"/>
        <w:rPr>
          <w:b/>
          <w:bCs/>
          <w:u w:val="single"/>
        </w:rPr>
      </w:pPr>
      <w:r>
        <w:rPr>
          <w:b/>
          <w:bCs/>
          <w:u w:val="single"/>
        </w:rPr>
        <w:t xml:space="preserve">Equation A.8   </w:t>
      </w:r>
    </w:p>
    <w:p w:rsidR="00000000" w:rsidRDefault="00657A20">
      <w:pPr>
        <w:pStyle w:val="BodyText"/>
        <w:spacing w:line="360" w:lineRule="auto"/>
        <w:ind w:left="1440" w:hanging="720"/>
      </w:pPr>
      <w:r>
        <w:t>A.2.6    On page 2, when the data is inputted, the spreadsheet automatically calculates standard uncertainty (</w:t>
      </w:r>
      <w:r>
        <w:rPr>
          <w:i/>
          <w:iCs/>
        </w:rPr>
        <w:t>s</w:t>
      </w:r>
      <w:r>
        <w:t xml:space="preserve"> or </w:t>
      </w:r>
      <w:r>
        <w:rPr>
          <w:i/>
          <w:iCs/>
          <w:sz w:val="28"/>
        </w:rPr>
        <w:t>u</w:t>
      </w:r>
      <w:r>
        <w:rPr>
          <w:i/>
          <w:iCs/>
          <w:sz w:val="28"/>
          <w:vertAlign w:val="subscript"/>
        </w:rPr>
        <w:t>r</w:t>
      </w:r>
      <w:r>
        <w:t>), recovery, and systematic error for components:</w:t>
      </w:r>
    </w:p>
    <w:p w:rsidR="00000000" w:rsidRDefault="00657A20" w:rsidP="00657A20">
      <w:pPr>
        <w:pStyle w:val="BodyText"/>
        <w:numPr>
          <w:ilvl w:val="0"/>
          <w:numId w:val="14"/>
        </w:numPr>
        <w:spacing w:line="360" w:lineRule="auto"/>
      </w:pPr>
      <w:r>
        <w:t>IME – Intrinsic Measurement Effect</w:t>
      </w:r>
    </w:p>
    <w:p w:rsidR="00000000" w:rsidRDefault="00657A20" w:rsidP="00657A20">
      <w:pPr>
        <w:pStyle w:val="BodyText"/>
        <w:numPr>
          <w:ilvl w:val="0"/>
          <w:numId w:val="14"/>
        </w:numPr>
        <w:spacing w:line="360" w:lineRule="auto"/>
      </w:pPr>
      <w:r>
        <w:t>SPE – Spike Preparation E</w:t>
      </w:r>
      <w:r>
        <w:t>ffect</w:t>
      </w:r>
    </w:p>
    <w:p w:rsidR="00000000" w:rsidRDefault="00657A20" w:rsidP="00657A20">
      <w:pPr>
        <w:pStyle w:val="BodyText"/>
        <w:numPr>
          <w:ilvl w:val="0"/>
          <w:numId w:val="14"/>
        </w:numPr>
        <w:spacing w:line="360" w:lineRule="auto"/>
      </w:pPr>
      <w:r>
        <w:t>PME – Preparation Method Effect</w:t>
      </w:r>
    </w:p>
    <w:p w:rsidR="00000000" w:rsidRDefault="00657A20" w:rsidP="00657A20">
      <w:pPr>
        <w:pStyle w:val="BodyText"/>
        <w:numPr>
          <w:ilvl w:val="0"/>
          <w:numId w:val="14"/>
        </w:numPr>
        <w:spacing w:line="360" w:lineRule="auto"/>
      </w:pPr>
      <w:r>
        <w:t xml:space="preserve">MIE – Matrix Interference Effect </w:t>
      </w:r>
    </w:p>
    <w:p w:rsidR="00000000" w:rsidRDefault="00657A20" w:rsidP="00657A20">
      <w:pPr>
        <w:pStyle w:val="BodyText"/>
        <w:numPr>
          <w:ilvl w:val="0"/>
          <w:numId w:val="14"/>
        </w:numPr>
        <w:spacing w:line="360" w:lineRule="auto"/>
      </w:pPr>
      <w:r>
        <w:t>SCE – Sample Collection Effect</w:t>
      </w:r>
    </w:p>
    <w:p w:rsidR="00000000" w:rsidRDefault="00657A20" w:rsidP="00657A20">
      <w:pPr>
        <w:pStyle w:val="BodyText"/>
        <w:numPr>
          <w:ilvl w:val="0"/>
          <w:numId w:val="14"/>
        </w:numPr>
        <w:spacing w:line="360" w:lineRule="auto"/>
      </w:pPr>
      <w:r>
        <w:t>SLE – Sample Location Effect</w:t>
      </w:r>
    </w:p>
    <w:p w:rsidR="00000000" w:rsidRDefault="00657A20">
      <w:pPr>
        <w:pStyle w:val="BodyText3"/>
        <w:widowControl/>
        <w:autoSpaceDE/>
        <w:adjustRightInd/>
        <w:spacing w:line="360" w:lineRule="auto"/>
        <w:ind w:left="1440" w:hanging="720"/>
      </w:pPr>
      <w:r>
        <w:t>A.2.7   The relative standard deviation of the Instrumental Calibration Standard (ICS) represents the uncertainty associated</w:t>
      </w:r>
      <w:r>
        <w:t xml:space="preserve"> with instrumental repeatability Intrinsic Measurement Effects (IME) in Equation A.9.</w:t>
      </w:r>
    </w:p>
    <w:p w:rsidR="00000000" w:rsidRDefault="00657A20">
      <w:pPr>
        <w:spacing w:line="360" w:lineRule="auto"/>
        <w:ind w:left="1440" w:hanging="720"/>
        <w:jc w:val="center"/>
        <w:rPr>
          <w:i/>
          <w:sz w:val="32"/>
          <w:vertAlign w:val="subscript"/>
        </w:rPr>
      </w:pPr>
      <w:r>
        <w:rPr>
          <w:i/>
          <w:sz w:val="32"/>
          <w:vertAlign w:val="superscript"/>
        </w:rPr>
        <w:t>ICS</w:t>
      </w:r>
      <w:r>
        <w:rPr>
          <w:i/>
          <w:sz w:val="32"/>
        </w:rPr>
        <w:t>u</w:t>
      </w:r>
      <w:r>
        <w:rPr>
          <w:i/>
          <w:sz w:val="32"/>
          <w:vertAlign w:val="subscript"/>
        </w:rPr>
        <w:t>r</w:t>
      </w:r>
      <w:r>
        <w:rPr>
          <w:i/>
          <w:sz w:val="32"/>
        </w:rPr>
        <w:t xml:space="preserve"> = </w:t>
      </w:r>
      <w:r>
        <w:rPr>
          <w:i/>
          <w:sz w:val="32"/>
          <w:vertAlign w:val="superscript"/>
        </w:rPr>
        <w:t>IME</w:t>
      </w:r>
      <w:r>
        <w:rPr>
          <w:i/>
          <w:sz w:val="32"/>
        </w:rPr>
        <w:t>u</w:t>
      </w:r>
      <w:r>
        <w:rPr>
          <w:i/>
          <w:sz w:val="32"/>
          <w:vertAlign w:val="subscript"/>
        </w:rPr>
        <w:t>r</w:t>
      </w:r>
    </w:p>
    <w:p w:rsidR="00000000" w:rsidRDefault="00657A20">
      <w:pPr>
        <w:pStyle w:val="Heading2"/>
        <w:spacing w:line="360" w:lineRule="auto"/>
        <w:rPr>
          <w:bCs/>
          <w:u w:val="single"/>
        </w:rPr>
      </w:pPr>
      <w:r>
        <w:rPr>
          <w:bCs/>
          <w:u w:val="single"/>
        </w:rPr>
        <w:t>Equation A.9</w:t>
      </w:r>
    </w:p>
    <w:p w:rsidR="00000000" w:rsidRDefault="00657A20">
      <w:pPr>
        <w:pStyle w:val="BodyText"/>
        <w:spacing w:line="360" w:lineRule="auto"/>
        <w:ind w:left="1440" w:hanging="720"/>
      </w:pPr>
      <w:r>
        <w:t>A.2.8   The relative standard deviation of the Independent Calibration Verification (ICV) is a combination of IME and the Spike Preparation Eff</w:t>
      </w:r>
      <w:r>
        <w:t xml:space="preserve">ects (SPE) in Equation A.10. </w:t>
      </w:r>
    </w:p>
    <w:p w:rsidR="00000000" w:rsidRDefault="00657A20">
      <w:pPr>
        <w:pStyle w:val="BodyText"/>
        <w:spacing w:line="360" w:lineRule="auto"/>
        <w:ind w:left="1440" w:hanging="720"/>
        <w:jc w:val="center"/>
      </w:pPr>
      <w:r>
        <w:object w:dxaOrig="3460" w:dyaOrig="480">
          <v:shape id="_x0000_i1042" type="#_x0000_t75" style="width:173.25pt;height:24pt" o:ole="" fillcolor="window">
            <v:imagedata r:id="rId39" o:title=""/>
          </v:shape>
          <o:OLEObject Type="Embed" ProgID="Equation.3" ShapeID="_x0000_i1042" DrawAspect="Content" ObjectID="_1742211776" r:id="rId40"/>
        </w:object>
      </w:r>
    </w:p>
    <w:p w:rsidR="00000000" w:rsidRDefault="00657A20">
      <w:pPr>
        <w:pStyle w:val="BodyText"/>
        <w:spacing w:line="360" w:lineRule="auto"/>
        <w:ind w:left="1440" w:hanging="720"/>
        <w:rPr>
          <w:b/>
          <w:u w:val="single"/>
        </w:rPr>
      </w:pPr>
      <w:r>
        <w:rPr>
          <w:b/>
          <w:u w:val="single"/>
        </w:rPr>
        <w:t>Equation A.10</w:t>
      </w:r>
    </w:p>
    <w:p w:rsidR="00000000" w:rsidRDefault="00657A20">
      <w:pPr>
        <w:spacing w:line="360" w:lineRule="auto"/>
        <w:ind w:left="1440"/>
        <w:rPr>
          <w:sz w:val="24"/>
        </w:rPr>
      </w:pPr>
      <w:r>
        <w:rPr>
          <w:sz w:val="24"/>
        </w:rPr>
        <w:t>Equation A.10 is rearranged to “back-out” the SPE standard uncertainty from the known ICV and IME standard uncertainties:</w:t>
      </w:r>
    </w:p>
    <w:p w:rsidR="00000000" w:rsidRDefault="00657A20">
      <w:pPr>
        <w:rPr>
          <w:sz w:val="24"/>
        </w:rPr>
      </w:pPr>
    </w:p>
    <w:p w:rsidR="00000000" w:rsidRDefault="00657A20">
      <w:pPr>
        <w:pStyle w:val="BodyText"/>
        <w:spacing w:line="360" w:lineRule="auto"/>
        <w:jc w:val="center"/>
      </w:pPr>
      <w:r>
        <w:rPr>
          <w:position w:val="-16"/>
        </w:rPr>
        <w:object w:dxaOrig="3460" w:dyaOrig="480">
          <v:shape id="_x0000_i1043" type="#_x0000_t75" style="width:173.25pt;height:24pt" o:ole="" fillcolor="window">
            <v:imagedata r:id="rId41" o:title=""/>
          </v:shape>
          <o:OLEObject Type="Embed" ProgID="Equation.3" ShapeID="_x0000_i1043" DrawAspect="Content" ObjectID="_1742211777" r:id="rId42"/>
        </w:object>
      </w:r>
    </w:p>
    <w:p w:rsidR="00000000" w:rsidRDefault="00657A20">
      <w:pPr>
        <w:pStyle w:val="BodyText"/>
        <w:spacing w:line="360" w:lineRule="auto"/>
        <w:ind w:left="1440" w:hanging="720"/>
      </w:pPr>
      <w:r>
        <w:lastRenderedPageBreak/>
        <w:t xml:space="preserve">A.2.9   The relative standard deviation of </w:t>
      </w:r>
      <w:r>
        <w:t>the Laboratory Control Sample (LCS) is a combination of IME, SPE, and the Preparation Method Effects (PME) in Equation A.11.</w:t>
      </w:r>
    </w:p>
    <w:p w:rsidR="00000000" w:rsidRDefault="00657A20">
      <w:pPr>
        <w:pStyle w:val="BodyText"/>
        <w:spacing w:line="360" w:lineRule="auto"/>
        <w:jc w:val="center"/>
      </w:pPr>
      <w:r>
        <w:rPr>
          <w:i/>
          <w:vertAlign w:val="superscript"/>
        </w:rPr>
        <w:tab/>
        <w:t xml:space="preserve">   </w:t>
      </w:r>
      <w:r>
        <w:rPr>
          <w:position w:val="-16"/>
        </w:rPr>
        <w:object w:dxaOrig="4780" w:dyaOrig="480">
          <v:shape id="_x0000_i1044" type="#_x0000_t75" style="width:239.25pt;height:24pt" o:ole="" fillcolor="window">
            <v:imagedata r:id="rId43" o:title=""/>
          </v:shape>
          <o:OLEObject Type="Embed" ProgID="Equation.3" ShapeID="_x0000_i1044" DrawAspect="Content" ObjectID="_1742211778" r:id="rId44"/>
        </w:object>
      </w:r>
    </w:p>
    <w:p w:rsidR="00000000" w:rsidRDefault="00657A20">
      <w:pPr>
        <w:pStyle w:val="Heading2"/>
        <w:spacing w:line="360" w:lineRule="auto"/>
        <w:rPr>
          <w:bCs/>
          <w:u w:val="single"/>
        </w:rPr>
      </w:pPr>
      <w:r>
        <w:rPr>
          <w:bCs/>
          <w:u w:val="single"/>
        </w:rPr>
        <w:t>Equation A.11</w:t>
      </w:r>
    </w:p>
    <w:p w:rsidR="00000000" w:rsidRDefault="00657A20">
      <w:pPr>
        <w:spacing w:line="360" w:lineRule="auto"/>
        <w:ind w:left="1440"/>
        <w:rPr>
          <w:sz w:val="24"/>
        </w:rPr>
      </w:pPr>
      <w:r>
        <w:rPr>
          <w:sz w:val="24"/>
        </w:rPr>
        <w:t>Equation A.11 is rearranged to “back-out” the PME standard uncertainty from the known ICV,</w:t>
      </w:r>
      <w:r>
        <w:rPr>
          <w:sz w:val="24"/>
        </w:rPr>
        <w:t xml:space="preserve"> IME, and SPE standard uncertainties:</w:t>
      </w:r>
    </w:p>
    <w:p w:rsidR="00000000" w:rsidRDefault="00657A20">
      <w:pPr>
        <w:pStyle w:val="BodyText"/>
        <w:tabs>
          <w:tab w:val="left" w:pos="1440"/>
        </w:tabs>
        <w:spacing w:line="360" w:lineRule="auto"/>
        <w:ind w:left="1440" w:hanging="720"/>
        <w:jc w:val="center"/>
      </w:pPr>
      <w:r>
        <w:rPr>
          <w:position w:val="-16"/>
        </w:rPr>
        <w:object w:dxaOrig="5140" w:dyaOrig="480">
          <v:shape id="_x0000_i1045" type="#_x0000_t75" style="width:256.5pt;height:24pt" o:ole="" fillcolor="window">
            <v:imagedata r:id="rId45" o:title=""/>
          </v:shape>
          <o:OLEObject Type="Embed" ProgID="Equation.3" ShapeID="_x0000_i1045" DrawAspect="Content" ObjectID="_1742211779" r:id="rId46"/>
        </w:object>
      </w:r>
    </w:p>
    <w:p w:rsidR="00000000" w:rsidRDefault="00657A20">
      <w:pPr>
        <w:pStyle w:val="BodyText"/>
        <w:tabs>
          <w:tab w:val="left" w:pos="1440"/>
        </w:tabs>
        <w:spacing w:line="360" w:lineRule="auto"/>
        <w:ind w:left="1440" w:hanging="720"/>
      </w:pPr>
      <w:r>
        <w:t xml:space="preserve">A.2.10 The relative standard deviation of the Matrix Spiked Sample (MIS) is a combination of IME, SPE, PME, and the Matrix Interference Effects (MIE) in Equation A.12.  </w:t>
      </w:r>
    </w:p>
    <w:p w:rsidR="00000000" w:rsidRDefault="00657A20">
      <w:pPr>
        <w:pStyle w:val="BodyText"/>
        <w:spacing w:line="360" w:lineRule="auto"/>
        <w:jc w:val="center"/>
      </w:pPr>
      <w:r>
        <w:rPr>
          <w:i/>
          <w:vertAlign w:val="superscript"/>
        </w:rPr>
        <w:tab/>
        <w:t xml:space="preserve">   </w:t>
      </w:r>
      <w:r>
        <w:rPr>
          <w:position w:val="-16"/>
        </w:rPr>
        <w:object w:dxaOrig="6000" w:dyaOrig="480">
          <v:shape id="_x0000_i1046" type="#_x0000_t75" style="width:300pt;height:24pt" o:ole="" fillcolor="window">
            <v:imagedata r:id="rId47" o:title=""/>
          </v:shape>
          <o:OLEObject Type="Embed" ProgID="Equation.3" ShapeID="_x0000_i1046" DrawAspect="Content" ObjectID="_1742211780" r:id="rId48"/>
        </w:object>
      </w:r>
    </w:p>
    <w:p w:rsidR="00000000" w:rsidRDefault="00657A20">
      <w:pPr>
        <w:pStyle w:val="Heading1"/>
        <w:spacing w:line="360" w:lineRule="auto"/>
      </w:pPr>
      <w:r>
        <w:t>Equation A.12</w:t>
      </w:r>
    </w:p>
    <w:p w:rsidR="00000000" w:rsidRDefault="00657A20">
      <w:pPr>
        <w:spacing w:line="360" w:lineRule="auto"/>
        <w:ind w:left="1440"/>
        <w:rPr>
          <w:sz w:val="24"/>
        </w:rPr>
      </w:pPr>
      <w:r>
        <w:rPr>
          <w:sz w:val="24"/>
        </w:rPr>
        <w:t>Equation A.12 is rearranged to “back-out” the MIE standard uncertainty from the known MIS, IME, SPE, and PME standard uncertainties:</w:t>
      </w:r>
    </w:p>
    <w:p w:rsidR="00000000" w:rsidRDefault="00657A20">
      <w:pPr>
        <w:pStyle w:val="BodyText"/>
        <w:spacing w:line="360" w:lineRule="auto"/>
        <w:jc w:val="center"/>
      </w:pPr>
      <w:r>
        <w:rPr>
          <w:i/>
          <w:vertAlign w:val="superscript"/>
        </w:rPr>
        <w:tab/>
        <w:t xml:space="preserve">   </w:t>
      </w:r>
      <w:r>
        <w:rPr>
          <w:position w:val="-16"/>
        </w:rPr>
        <w:object w:dxaOrig="6340" w:dyaOrig="480">
          <v:shape id="_x0000_i1047" type="#_x0000_t75" style="width:317.25pt;height:24pt" o:ole="" fillcolor="window">
            <v:imagedata r:id="rId49" o:title=""/>
          </v:shape>
          <o:OLEObject Type="Embed" ProgID="Equation.3" ShapeID="_x0000_i1047" DrawAspect="Content" ObjectID="_1742211781" r:id="rId50"/>
        </w:object>
      </w:r>
    </w:p>
    <w:p w:rsidR="00000000" w:rsidRDefault="00657A20">
      <w:pPr>
        <w:pStyle w:val="BodyText"/>
        <w:spacing w:line="360" w:lineRule="auto"/>
        <w:ind w:left="1440" w:hanging="720"/>
      </w:pPr>
      <w:r>
        <w:t>A.2.11 The relative standard deviation of the Field-split Duplicate Sample (FSR)</w:t>
      </w:r>
      <w:r>
        <w:t xml:space="preserve"> is a combination of IME, PME, MIE, and the Sample Collection and Subsampling Effects (SCE) in Equation A.13.</w:t>
      </w:r>
    </w:p>
    <w:p w:rsidR="00000000" w:rsidRDefault="00657A20">
      <w:pPr>
        <w:pStyle w:val="BodyText"/>
        <w:spacing w:line="360" w:lineRule="auto"/>
        <w:jc w:val="center"/>
      </w:pPr>
      <w:r>
        <w:rPr>
          <w:i/>
          <w:vertAlign w:val="superscript"/>
        </w:rPr>
        <w:tab/>
        <w:t xml:space="preserve">   </w:t>
      </w:r>
      <w:r>
        <w:rPr>
          <w:position w:val="-16"/>
        </w:rPr>
        <w:object w:dxaOrig="6000" w:dyaOrig="480">
          <v:shape id="_x0000_i1048" type="#_x0000_t75" style="width:300pt;height:24pt" o:ole="" fillcolor="window">
            <v:imagedata r:id="rId51" o:title=""/>
          </v:shape>
          <o:OLEObject Type="Embed" ProgID="Equation.3" ShapeID="_x0000_i1048" DrawAspect="Content" ObjectID="_1742211782" r:id="rId52"/>
        </w:object>
      </w:r>
    </w:p>
    <w:p w:rsidR="00000000" w:rsidRDefault="00657A20">
      <w:pPr>
        <w:pStyle w:val="Heading2"/>
        <w:spacing w:line="360" w:lineRule="auto"/>
        <w:rPr>
          <w:bCs/>
          <w:u w:val="single"/>
        </w:rPr>
      </w:pPr>
      <w:r>
        <w:rPr>
          <w:bCs/>
          <w:u w:val="single"/>
        </w:rPr>
        <w:t>Equation A.13</w:t>
      </w:r>
    </w:p>
    <w:p w:rsidR="00000000" w:rsidRDefault="00657A20">
      <w:pPr>
        <w:spacing w:line="360" w:lineRule="auto"/>
        <w:ind w:left="1440"/>
        <w:rPr>
          <w:sz w:val="24"/>
        </w:rPr>
      </w:pPr>
      <w:r>
        <w:rPr>
          <w:sz w:val="24"/>
        </w:rPr>
        <w:t xml:space="preserve">Equation A.13 is rearranged to “back-out” the MIE standard uncertainty from the known FSR, IME, PME, and </w:t>
      </w:r>
      <w:r>
        <w:rPr>
          <w:sz w:val="24"/>
        </w:rPr>
        <w:t>MIE standard uncertainties:</w:t>
      </w:r>
    </w:p>
    <w:p w:rsidR="00000000" w:rsidRDefault="00657A20">
      <w:pPr>
        <w:pStyle w:val="BodyText"/>
        <w:spacing w:line="360" w:lineRule="auto"/>
        <w:jc w:val="center"/>
      </w:pPr>
      <w:r>
        <w:rPr>
          <w:i/>
          <w:vertAlign w:val="superscript"/>
        </w:rPr>
        <w:tab/>
        <w:t xml:space="preserve">   </w:t>
      </w:r>
      <w:r>
        <w:rPr>
          <w:position w:val="-16"/>
        </w:rPr>
        <w:object w:dxaOrig="6360" w:dyaOrig="480">
          <v:shape id="_x0000_i1049" type="#_x0000_t75" style="width:318pt;height:24pt" o:ole="" fillcolor="window">
            <v:imagedata r:id="rId53" o:title=""/>
          </v:shape>
          <o:OLEObject Type="Embed" ProgID="Equation.3" ShapeID="_x0000_i1049" DrawAspect="Content" ObjectID="_1742211783" r:id="rId54"/>
        </w:object>
      </w:r>
    </w:p>
    <w:p w:rsidR="00000000" w:rsidRDefault="00657A20">
      <w:pPr>
        <w:pStyle w:val="BodyText"/>
        <w:spacing w:line="360" w:lineRule="auto"/>
        <w:ind w:left="1440" w:hanging="720"/>
        <w:rPr>
          <w:i/>
          <w:vertAlign w:val="superscript"/>
        </w:rPr>
      </w:pPr>
      <w:r>
        <w:t>A.2.12 The relative standard deviation of the Field Co-located Duplicate Sample (CLR) is a combination of IME, PME, MIE, SCE, and the small-scale Sample Location Effects (SLE) in Equation A.14.</w:t>
      </w:r>
    </w:p>
    <w:p w:rsidR="00000000" w:rsidRDefault="00657A20">
      <w:pPr>
        <w:pStyle w:val="BodyText"/>
        <w:spacing w:line="360" w:lineRule="auto"/>
        <w:jc w:val="center"/>
        <w:rPr>
          <w:i/>
          <w:vertAlign w:val="superscript"/>
        </w:rPr>
      </w:pPr>
    </w:p>
    <w:p w:rsidR="00000000" w:rsidRDefault="00657A20">
      <w:pPr>
        <w:pStyle w:val="BodyText"/>
        <w:spacing w:line="360" w:lineRule="auto"/>
        <w:jc w:val="center"/>
      </w:pPr>
      <w:r>
        <w:rPr>
          <w:i/>
          <w:vertAlign w:val="superscript"/>
        </w:rPr>
        <w:lastRenderedPageBreak/>
        <w:tab/>
        <w:t xml:space="preserve">   </w:t>
      </w:r>
      <w:r>
        <w:rPr>
          <w:position w:val="-16"/>
        </w:rPr>
        <w:object w:dxaOrig="7240" w:dyaOrig="480">
          <v:shape id="_x0000_i1050" type="#_x0000_t75" style="width:362.25pt;height:24pt" o:ole="" fillcolor="window">
            <v:imagedata r:id="rId55" o:title=""/>
          </v:shape>
          <o:OLEObject Type="Embed" ProgID="Equation.3" ShapeID="_x0000_i1050" DrawAspect="Content" ObjectID="_1742211784" r:id="rId56"/>
        </w:object>
      </w:r>
    </w:p>
    <w:p w:rsidR="00000000" w:rsidRDefault="00657A20">
      <w:pPr>
        <w:pStyle w:val="BodyText"/>
        <w:spacing w:line="360" w:lineRule="auto"/>
        <w:rPr>
          <w:b/>
          <w:bCs/>
          <w:u w:val="single"/>
        </w:rPr>
      </w:pPr>
      <w:r>
        <w:rPr>
          <w:b/>
          <w:bCs/>
          <w:u w:val="single"/>
        </w:rPr>
        <w:t>Equation A.14</w:t>
      </w:r>
    </w:p>
    <w:p w:rsidR="00000000" w:rsidRDefault="00657A20">
      <w:pPr>
        <w:spacing w:line="360" w:lineRule="auto"/>
        <w:ind w:left="1440"/>
        <w:rPr>
          <w:sz w:val="24"/>
        </w:rPr>
      </w:pPr>
      <w:r>
        <w:rPr>
          <w:sz w:val="24"/>
        </w:rPr>
        <w:t>Equation A.14 is rearranged to “back-out” the SLE standard uncertainty from the known CLR, IME, PME, MIE and SCE standard uncertainties:</w:t>
      </w:r>
    </w:p>
    <w:p w:rsidR="00000000" w:rsidRDefault="00657A20">
      <w:pPr>
        <w:pStyle w:val="BodyText"/>
        <w:spacing w:line="360" w:lineRule="auto"/>
        <w:jc w:val="center"/>
      </w:pPr>
      <w:r>
        <w:rPr>
          <w:i/>
          <w:vertAlign w:val="superscript"/>
        </w:rPr>
        <w:tab/>
        <w:t xml:space="preserve">   </w:t>
      </w:r>
      <w:r>
        <w:rPr>
          <w:position w:val="-16"/>
        </w:rPr>
        <w:object w:dxaOrig="7600" w:dyaOrig="480">
          <v:shape id="_x0000_i1051" type="#_x0000_t75" style="width:380.25pt;height:24pt" o:ole="" fillcolor="window">
            <v:imagedata r:id="rId57" o:title=""/>
          </v:shape>
          <o:OLEObject Type="Embed" ProgID="Equation.3" ShapeID="_x0000_i1051" DrawAspect="Content" ObjectID="_1742211785" r:id="rId58"/>
        </w:object>
      </w:r>
    </w:p>
    <w:p w:rsidR="00000000" w:rsidRDefault="00657A20">
      <w:pPr>
        <w:pStyle w:val="BodyText"/>
        <w:spacing w:line="360" w:lineRule="auto"/>
        <w:ind w:left="1440" w:hanging="720"/>
      </w:pPr>
      <w:r>
        <w:t>A.2.13 The large-scale natural variability of the analyte</w:t>
      </w:r>
      <w:r>
        <w:t xml:space="preserve"> distribution inherent in the sampling site is not measured directly, but is derived by a process of sampling and testing.  This process confounds the natural site population parameter mean and standard deviation. The relative standard deviation of the col</w:t>
      </w:r>
      <w:r>
        <w:t xml:space="preserve">lection of Site Field Samples (SFS) is a combination of IME, PME, MIE, SCE, SLE, and the large-scale Sampling Site Effects (SSE) in Equation A.15. </w:t>
      </w:r>
    </w:p>
    <w:p w:rsidR="00000000" w:rsidRDefault="00657A20">
      <w:pPr>
        <w:pStyle w:val="BodyText"/>
        <w:spacing w:line="360" w:lineRule="auto"/>
        <w:jc w:val="center"/>
      </w:pPr>
      <w:r>
        <w:rPr>
          <w:position w:val="-16"/>
        </w:rPr>
        <w:object w:dxaOrig="8400" w:dyaOrig="480">
          <v:shape id="_x0000_i1052" type="#_x0000_t75" style="width:420pt;height:24pt" o:ole="" fillcolor="window">
            <v:imagedata r:id="rId59" o:title=""/>
          </v:shape>
          <o:OLEObject Type="Embed" ProgID="Equation.3" ShapeID="_x0000_i1052" DrawAspect="Content" ObjectID="_1742211786" r:id="rId60"/>
        </w:object>
      </w:r>
    </w:p>
    <w:p w:rsidR="00000000" w:rsidRDefault="00657A20">
      <w:pPr>
        <w:pStyle w:val="BodyText"/>
        <w:spacing w:line="360" w:lineRule="auto"/>
        <w:rPr>
          <w:b/>
          <w:bCs/>
          <w:u w:val="single"/>
        </w:rPr>
      </w:pPr>
      <w:r>
        <w:rPr>
          <w:b/>
          <w:bCs/>
          <w:u w:val="single"/>
        </w:rPr>
        <w:t>Equation A.15</w:t>
      </w:r>
    </w:p>
    <w:p w:rsidR="00000000" w:rsidRDefault="00657A20">
      <w:pPr>
        <w:spacing w:line="360" w:lineRule="auto"/>
        <w:ind w:left="1440"/>
        <w:rPr>
          <w:sz w:val="24"/>
        </w:rPr>
      </w:pPr>
      <w:r>
        <w:rPr>
          <w:sz w:val="24"/>
        </w:rPr>
        <w:t xml:space="preserve">Equation A.15 is rearranged to “back-out” the SSE standard uncertainty </w:t>
      </w:r>
      <w:r>
        <w:rPr>
          <w:sz w:val="24"/>
        </w:rPr>
        <w:t>from the known SFS, IME, PME, MIE, SCE, and SLE standard uncertainties:</w:t>
      </w:r>
    </w:p>
    <w:p w:rsidR="00000000" w:rsidRDefault="00657A20">
      <w:pPr>
        <w:pStyle w:val="BodyText"/>
        <w:spacing w:line="360" w:lineRule="auto"/>
        <w:jc w:val="center"/>
      </w:pPr>
      <w:r>
        <w:rPr>
          <w:position w:val="-16"/>
        </w:rPr>
        <w:object w:dxaOrig="8760" w:dyaOrig="480">
          <v:shape id="_x0000_i1053" type="#_x0000_t75" style="width:438.75pt;height:24pt" o:ole="" fillcolor="window">
            <v:imagedata r:id="rId61" o:title=""/>
          </v:shape>
          <o:OLEObject Type="Embed" ProgID="Equation.3" ShapeID="_x0000_i1053" DrawAspect="Content" ObjectID="_1742211787" r:id="rId62"/>
        </w:object>
      </w:r>
    </w:p>
    <w:p w:rsidR="00000000" w:rsidRDefault="00657A20">
      <w:pPr>
        <w:pStyle w:val="BodyText"/>
        <w:spacing w:line="360" w:lineRule="auto"/>
        <w:ind w:left="1440" w:hanging="720"/>
      </w:pPr>
      <w:r>
        <w:t>A.2.14 The spreadsheet has a logic test to make the calculations more robust.  If a component in the logic hierarchy has a standard uncertainty less than the sta</w:t>
      </w:r>
      <w:r>
        <w:t xml:space="preserve">ndard uncertainty of a component lower in the logic hierarchy, then the spreadsheet reports zero for the higher component.   </w:t>
      </w:r>
    </w:p>
    <w:p w:rsidR="00000000" w:rsidRDefault="00657A20">
      <w:pPr>
        <w:pStyle w:val="BodyText"/>
        <w:spacing w:line="360" w:lineRule="auto"/>
        <w:ind w:left="1440" w:hanging="720"/>
      </w:pPr>
      <w:r>
        <w:t>A.2.15 The component recovery (</w:t>
      </w:r>
      <w:r>
        <w:rPr>
          <w:position w:val="-6"/>
        </w:rPr>
        <w:object w:dxaOrig="720" w:dyaOrig="340">
          <v:shape id="_x0000_i1054" type="#_x0000_t75" style="width:36pt;height:16.5pt" o:ole="" fillcolor="window">
            <v:imagedata r:id="rId63" o:title=""/>
          </v:shape>
          <o:OLEObject Type="Embed" ProgID="Equation.3" ShapeID="_x0000_i1054" DrawAspect="Content" ObjectID="_1742211788" r:id="rId64"/>
        </w:object>
      </w:r>
      <w:r>
        <w:t>) for IME is calculated by using Equation A.16.</w:t>
      </w:r>
    </w:p>
    <w:p w:rsidR="00000000" w:rsidRDefault="00657A20">
      <w:pPr>
        <w:pStyle w:val="BodyText"/>
        <w:spacing w:line="360" w:lineRule="auto"/>
        <w:jc w:val="center"/>
      </w:pPr>
      <w:r>
        <w:rPr>
          <w:position w:val="-6"/>
        </w:rPr>
        <w:object w:dxaOrig="2200" w:dyaOrig="340">
          <v:shape id="_x0000_i1055" type="#_x0000_t75" style="width:110.25pt;height:16.5pt" o:ole="" fillcolor="window">
            <v:imagedata r:id="rId65" o:title=""/>
          </v:shape>
          <o:OLEObject Type="Embed" ProgID="Equation.3" ShapeID="_x0000_i1055" DrawAspect="Content" ObjectID="_1742211789" r:id="rId66"/>
        </w:object>
      </w:r>
    </w:p>
    <w:p w:rsidR="00000000" w:rsidRDefault="00657A20">
      <w:pPr>
        <w:pStyle w:val="BodyText"/>
        <w:spacing w:line="360" w:lineRule="auto"/>
        <w:rPr>
          <w:b/>
          <w:bCs/>
          <w:u w:val="single"/>
        </w:rPr>
      </w:pPr>
      <w:r>
        <w:rPr>
          <w:b/>
          <w:bCs/>
          <w:u w:val="single"/>
        </w:rPr>
        <w:t>Equati</w:t>
      </w:r>
      <w:r>
        <w:rPr>
          <w:b/>
          <w:bCs/>
          <w:u w:val="single"/>
        </w:rPr>
        <w:t>on A.16</w:t>
      </w:r>
    </w:p>
    <w:p w:rsidR="00000000" w:rsidRDefault="00657A20">
      <w:pPr>
        <w:pStyle w:val="BodyText"/>
        <w:spacing w:line="360" w:lineRule="auto"/>
        <w:ind w:left="1440" w:hanging="720"/>
      </w:pPr>
      <w:r>
        <w:t>A.2.16 The component recovery (</w:t>
      </w:r>
      <w:r>
        <w:rPr>
          <w:position w:val="-6"/>
        </w:rPr>
        <w:object w:dxaOrig="720" w:dyaOrig="340">
          <v:shape id="_x0000_i1056" type="#_x0000_t75" style="width:36pt;height:16.5pt" o:ole="" fillcolor="window">
            <v:imagedata r:id="rId67" o:title=""/>
          </v:shape>
          <o:OLEObject Type="Embed" ProgID="Equation.3" ShapeID="_x0000_i1056" DrawAspect="Content" ObjectID="_1742211790" r:id="rId68"/>
        </w:object>
      </w:r>
      <w:r>
        <w:t>) for SPE is calculated by using Equation A.17.</w:t>
      </w:r>
    </w:p>
    <w:p w:rsidR="00000000" w:rsidRDefault="00657A20">
      <w:pPr>
        <w:pStyle w:val="BodyText"/>
        <w:spacing w:line="360" w:lineRule="auto"/>
        <w:jc w:val="center"/>
      </w:pPr>
      <w:r>
        <w:rPr>
          <w:position w:val="-34"/>
        </w:rPr>
        <w:object w:dxaOrig="2780" w:dyaOrig="800">
          <v:shape id="_x0000_i1057" type="#_x0000_t75" style="width:138.75pt;height:39pt" o:ole="" fillcolor="window">
            <v:imagedata r:id="rId69" o:title=""/>
          </v:shape>
          <o:OLEObject Type="Embed" ProgID="Equation.3" ShapeID="_x0000_i1057" DrawAspect="Content" ObjectID="_1742211791" r:id="rId70"/>
        </w:object>
      </w:r>
    </w:p>
    <w:p w:rsidR="00000000" w:rsidRDefault="00657A20">
      <w:pPr>
        <w:pStyle w:val="BodyText"/>
        <w:spacing w:line="360" w:lineRule="auto"/>
        <w:rPr>
          <w:b/>
          <w:bCs/>
          <w:u w:val="single"/>
        </w:rPr>
      </w:pPr>
      <w:r>
        <w:rPr>
          <w:b/>
          <w:bCs/>
          <w:u w:val="single"/>
        </w:rPr>
        <w:t>Equation A.17</w:t>
      </w:r>
    </w:p>
    <w:p w:rsidR="00000000" w:rsidRDefault="00657A20">
      <w:pPr>
        <w:pStyle w:val="BodyText"/>
        <w:spacing w:line="360" w:lineRule="auto"/>
        <w:ind w:left="1440" w:hanging="720"/>
      </w:pPr>
      <w:r>
        <w:t>A.2.17 The component recovery (</w:t>
      </w:r>
      <w:r>
        <w:rPr>
          <w:position w:val="-6"/>
        </w:rPr>
        <w:object w:dxaOrig="760" w:dyaOrig="340">
          <v:shape id="_x0000_i1058" type="#_x0000_t75" style="width:38.25pt;height:16.5pt" o:ole="" fillcolor="window">
            <v:imagedata r:id="rId71" o:title=""/>
          </v:shape>
          <o:OLEObject Type="Embed" ProgID="Equation.3" ShapeID="_x0000_i1058" DrawAspect="Content" ObjectID="_1742211792" r:id="rId72"/>
        </w:object>
      </w:r>
      <w:r>
        <w:t>) for PME is calculated by using Equation A.18.</w:t>
      </w:r>
    </w:p>
    <w:p w:rsidR="00000000" w:rsidRDefault="00657A20">
      <w:pPr>
        <w:pStyle w:val="BodyText"/>
        <w:spacing w:line="360" w:lineRule="auto"/>
        <w:jc w:val="center"/>
      </w:pPr>
      <w:r>
        <w:rPr>
          <w:position w:val="-32"/>
        </w:rPr>
        <w:object w:dxaOrig="3840" w:dyaOrig="760">
          <v:shape id="_x0000_i1059" type="#_x0000_t75" style="width:192pt;height:37.5pt" o:ole="" fillcolor="window">
            <v:imagedata r:id="rId73" o:title=""/>
          </v:shape>
          <o:OLEObject Type="Embed" ProgID="Equation.3" ShapeID="_x0000_i1059" DrawAspect="Content" ObjectID="_1742211793" r:id="rId74"/>
        </w:object>
      </w:r>
    </w:p>
    <w:p w:rsidR="00000000" w:rsidRDefault="00657A20">
      <w:pPr>
        <w:pStyle w:val="BodyText"/>
        <w:spacing w:line="360" w:lineRule="auto"/>
        <w:rPr>
          <w:b/>
          <w:bCs/>
          <w:u w:val="single"/>
        </w:rPr>
      </w:pPr>
      <w:r>
        <w:rPr>
          <w:b/>
          <w:bCs/>
          <w:u w:val="single"/>
        </w:rPr>
        <w:t>Equation A.18</w:t>
      </w:r>
    </w:p>
    <w:p w:rsidR="00000000" w:rsidRDefault="00657A20">
      <w:pPr>
        <w:pStyle w:val="BodyText"/>
        <w:spacing w:line="360" w:lineRule="auto"/>
        <w:ind w:left="1440" w:hanging="720"/>
      </w:pPr>
      <w:r>
        <w:t>A.2.18 The component recovery (</w:t>
      </w:r>
      <w:r>
        <w:rPr>
          <w:position w:val="-6"/>
        </w:rPr>
        <w:object w:dxaOrig="720" w:dyaOrig="340">
          <v:shape id="_x0000_i1060" type="#_x0000_t75" style="width:36pt;height:16.5pt" o:ole="" fillcolor="window">
            <v:imagedata r:id="rId75" o:title=""/>
          </v:shape>
          <o:OLEObject Type="Embed" ProgID="Equation.3" ShapeID="_x0000_i1060" DrawAspect="Content" ObjectID="_1742211794" r:id="rId76"/>
        </w:object>
      </w:r>
      <w:r>
        <w:t>) for MIE is calculated by using Equation A.19.</w:t>
      </w:r>
    </w:p>
    <w:p w:rsidR="00000000" w:rsidRDefault="00657A20">
      <w:pPr>
        <w:pStyle w:val="BodyText"/>
        <w:spacing w:line="360" w:lineRule="auto"/>
        <w:jc w:val="center"/>
      </w:pPr>
      <w:r>
        <w:rPr>
          <w:position w:val="-32"/>
        </w:rPr>
        <w:object w:dxaOrig="5100" w:dyaOrig="760">
          <v:shape id="_x0000_i1061" type="#_x0000_t75" style="width:255pt;height:37.5pt" o:ole="" fillcolor="window">
            <v:imagedata r:id="rId77" o:title=""/>
          </v:shape>
          <o:OLEObject Type="Embed" ProgID="Equation.3" ShapeID="_x0000_i1061" DrawAspect="Content" ObjectID="_1742211795" r:id="rId78"/>
        </w:object>
      </w:r>
    </w:p>
    <w:p w:rsidR="00000000" w:rsidRDefault="00657A20">
      <w:pPr>
        <w:pStyle w:val="BodyText"/>
        <w:spacing w:line="360" w:lineRule="auto"/>
        <w:rPr>
          <w:u w:val="single"/>
        </w:rPr>
      </w:pPr>
      <w:r>
        <w:rPr>
          <w:b/>
          <w:bCs/>
          <w:u w:val="single"/>
        </w:rPr>
        <w:t>Equation A.19</w:t>
      </w:r>
    </w:p>
    <w:p w:rsidR="00000000" w:rsidRDefault="00657A20">
      <w:pPr>
        <w:pStyle w:val="BodyText"/>
        <w:spacing w:line="360" w:lineRule="auto"/>
        <w:ind w:left="1440" w:hanging="720"/>
      </w:pPr>
      <w:r>
        <w:t>A.2.19 The component systematic error (</w:t>
      </w:r>
      <w:r>
        <w:rPr>
          <w:position w:val="-6"/>
        </w:rPr>
        <w:object w:dxaOrig="720" w:dyaOrig="340">
          <v:shape id="_x0000_i1062" type="#_x0000_t75" style="width:36pt;height:16.5pt" o:ole="" fillcolor="window">
            <v:imagedata r:id="rId79" o:title=""/>
          </v:shape>
          <o:OLEObject Type="Embed" ProgID="Equation.3" ShapeID="_x0000_i1062" DrawAspect="Content" ObjectID="_1742211796" r:id="rId80"/>
        </w:object>
      </w:r>
      <w:r>
        <w:t>) for IME is calculated by us</w:t>
      </w:r>
      <w:r>
        <w:t>ing Equation A.20.</w:t>
      </w:r>
    </w:p>
    <w:p w:rsidR="00000000" w:rsidRDefault="00657A20">
      <w:pPr>
        <w:pStyle w:val="BodyText"/>
        <w:spacing w:line="360" w:lineRule="auto"/>
        <w:ind w:left="1440" w:hanging="720"/>
        <w:jc w:val="center"/>
      </w:pPr>
      <w:r>
        <w:rPr>
          <w:position w:val="-10"/>
        </w:rPr>
        <w:object w:dxaOrig="2360" w:dyaOrig="380">
          <v:shape id="_x0000_i1063" type="#_x0000_t75" style="width:117.75pt;height:18.75pt" o:ole="" fillcolor="window">
            <v:imagedata r:id="rId81" o:title=""/>
          </v:shape>
          <o:OLEObject Type="Embed" ProgID="Equation.3" ShapeID="_x0000_i1063" DrawAspect="Content" ObjectID="_1742211797" r:id="rId82"/>
        </w:object>
      </w:r>
    </w:p>
    <w:p w:rsidR="00000000" w:rsidRDefault="00657A20">
      <w:pPr>
        <w:pStyle w:val="BodyText"/>
        <w:spacing w:line="360" w:lineRule="auto"/>
        <w:rPr>
          <w:u w:val="single"/>
        </w:rPr>
      </w:pPr>
      <w:r>
        <w:rPr>
          <w:b/>
          <w:bCs/>
          <w:u w:val="single"/>
        </w:rPr>
        <w:t>Equation A.20</w:t>
      </w:r>
    </w:p>
    <w:p w:rsidR="00000000" w:rsidRDefault="00657A20">
      <w:pPr>
        <w:pStyle w:val="BodyText"/>
        <w:spacing w:line="360" w:lineRule="auto"/>
        <w:ind w:left="1440" w:hanging="720"/>
      </w:pPr>
      <w:r>
        <w:t>A.2.20 The component systematic error (</w:t>
      </w:r>
      <w:r>
        <w:rPr>
          <w:position w:val="-6"/>
        </w:rPr>
        <w:object w:dxaOrig="720" w:dyaOrig="340">
          <v:shape id="_x0000_i1064" type="#_x0000_t75" style="width:36pt;height:16.5pt" o:ole="" fillcolor="window">
            <v:imagedata r:id="rId83" o:title=""/>
          </v:shape>
          <o:OLEObject Type="Embed" ProgID="Equation.3" ShapeID="_x0000_i1064" DrawAspect="Content" ObjectID="_1742211798" r:id="rId84"/>
        </w:object>
      </w:r>
      <w:r>
        <w:t>) for SPE is calculated by using Equation A.21.</w:t>
      </w:r>
    </w:p>
    <w:p w:rsidR="00000000" w:rsidRDefault="00657A20">
      <w:pPr>
        <w:pStyle w:val="BodyText"/>
        <w:spacing w:line="360" w:lineRule="auto"/>
        <w:ind w:left="1440" w:hanging="720"/>
        <w:jc w:val="center"/>
      </w:pPr>
      <w:r>
        <w:rPr>
          <w:position w:val="-10"/>
        </w:rPr>
        <w:object w:dxaOrig="2340" w:dyaOrig="380">
          <v:shape id="_x0000_i1065" type="#_x0000_t75" style="width:117pt;height:18.75pt" o:ole="" fillcolor="window">
            <v:imagedata r:id="rId85" o:title=""/>
          </v:shape>
          <o:OLEObject Type="Embed" ProgID="Equation.3" ShapeID="_x0000_i1065" DrawAspect="Content" ObjectID="_1742211799" r:id="rId86"/>
        </w:object>
      </w:r>
    </w:p>
    <w:p w:rsidR="00000000" w:rsidRDefault="00657A20">
      <w:pPr>
        <w:pStyle w:val="BodyText"/>
        <w:spacing w:line="360" w:lineRule="auto"/>
        <w:rPr>
          <w:u w:val="single"/>
        </w:rPr>
      </w:pPr>
      <w:r>
        <w:rPr>
          <w:b/>
          <w:bCs/>
          <w:u w:val="single"/>
        </w:rPr>
        <w:t>Equation A.21</w:t>
      </w:r>
    </w:p>
    <w:p w:rsidR="00000000" w:rsidRDefault="00657A20">
      <w:pPr>
        <w:pStyle w:val="BodyText"/>
        <w:spacing w:line="360" w:lineRule="auto"/>
        <w:ind w:left="1440" w:hanging="720"/>
      </w:pPr>
      <w:r>
        <w:t>A.2.21 The component systematic error (</w:t>
      </w:r>
      <w:r>
        <w:rPr>
          <w:position w:val="-6"/>
        </w:rPr>
        <w:object w:dxaOrig="760" w:dyaOrig="340">
          <v:shape id="_x0000_i1066" type="#_x0000_t75" style="width:38.25pt;height:16.5pt" o:ole="" fillcolor="window">
            <v:imagedata r:id="rId87" o:title=""/>
          </v:shape>
          <o:OLEObject Type="Embed" ProgID="Equation.3" ShapeID="_x0000_i1066" DrawAspect="Content" ObjectID="_1742211800" r:id="rId88"/>
        </w:object>
      </w:r>
      <w:r>
        <w:t>) for PME is calculated by using Equation A.22.</w:t>
      </w:r>
    </w:p>
    <w:p w:rsidR="00000000" w:rsidRDefault="00657A20">
      <w:pPr>
        <w:pStyle w:val="BodyText"/>
        <w:spacing w:line="360" w:lineRule="auto"/>
        <w:ind w:left="1440" w:hanging="720"/>
        <w:jc w:val="center"/>
      </w:pPr>
      <w:r>
        <w:rPr>
          <w:position w:val="-10"/>
        </w:rPr>
        <w:object w:dxaOrig="2439" w:dyaOrig="380">
          <v:shape id="_x0000_i1067" type="#_x0000_t75" style="width:122.25pt;height:18.75pt" o:ole="" fillcolor="window">
            <v:imagedata r:id="rId89" o:title=""/>
          </v:shape>
          <o:OLEObject Type="Embed" ProgID="Equation.3" ShapeID="_x0000_i1067" DrawAspect="Content" ObjectID="_1742211801" r:id="rId90"/>
        </w:object>
      </w:r>
    </w:p>
    <w:p w:rsidR="00000000" w:rsidRDefault="00657A20">
      <w:pPr>
        <w:pStyle w:val="BodyText"/>
        <w:spacing w:line="360" w:lineRule="auto"/>
        <w:rPr>
          <w:u w:val="single"/>
        </w:rPr>
      </w:pPr>
      <w:r>
        <w:rPr>
          <w:b/>
          <w:bCs/>
          <w:u w:val="single"/>
        </w:rPr>
        <w:t>Equation A.22</w:t>
      </w:r>
    </w:p>
    <w:p w:rsidR="00000000" w:rsidRDefault="00657A20">
      <w:pPr>
        <w:pStyle w:val="BodyText"/>
        <w:spacing w:line="360" w:lineRule="auto"/>
        <w:ind w:left="1440" w:hanging="720"/>
      </w:pPr>
      <w:r>
        <w:t>A.2.22 The component systematic error (</w:t>
      </w:r>
      <w:r>
        <w:rPr>
          <w:position w:val="-6"/>
        </w:rPr>
        <w:object w:dxaOrig="720" w:dyaOrig="340">
          <v:shape id="_x0000_i1068" type="#_x0000_t75" style="width:36pt;height:16.5pt" o:ole="" fillcolor="window">
            <v:imagedata r:id="rId91" o:title=""/>
          </v:shape>
          <o:OLEObject Type="Embed" ProgID="Equation.3" ShapeID="_x0000_i1068" DrawAspect="Content" ObjectID="_1742211802" r:id="rId92"/>
        </w:object>
      </w:r>
      <w:r>
        <w:t>) for MIE is calculated by using Equation A.23.</w:t>
      </w:r>
    </w:p>
    <w:p w:rsidR="00000000" w:rsidRDefault="00657A20">
      <w:pPr>
        <w:pStyle w:val="BodyText"/>
        <w:spacing w:line="360" w:lineRule="auto"/>
        <w:ind w:left="1440" w:hanging="720"/>
        <w:jc w:val="center"/>
      </w:pPr>
      <w:r>
        <w:rPr>
          <w:position w:val="-10"/>
        </w:rPr>
        <w:object w:dxaOrig="2340" w:dyaOrig="380">
          <v:shape id="_x0000_i1069" type="#_x0000_t75" style="width:117pt;height:18.75pt" o:ole="" fillcolor="window">
            <v:imagedata r:id="rId93" o:title=""/>
          </v:shape>
          <o:OLEObject Type="Embed" ProgID="Equation.3" ShapeID="_x0000_i1069" DrawAspect="Content" ObjectID="_1742211803" r:id="rId94"/>
        </w:object>
      </w:r>
    </w:p>
    <w:p w:rsidR="00000000" w:rsidRDefault="00657A20">
      <w:pPr>
        <w:pStyle w:val="BodyText"/>
        <w:spacing w:line="360" w:lineRule="auto"/>
        <w:rPr>
          <w:u w:val="single"/>
        </w:rPr>
      </w:pPr>
      <w:r>
        <w:rPr>
          <w:b/>
          <w:bCs/>
          <w:u w:val="single"/>
        </w:rPr>
        <w:t>Equation A.23</w:t>
      </w:r>
    </w:p>
    <w:p w:rsidR="00000000" w:rsidRDefault="00657A20">
      <w:pPr>
        <w:pStyle w:val="Heading4"/>
        <w:numPr>
          <w:ilvl w:val="0"/>
          <w:numId w:val="0"/>
        </w:numPr>
        <w:tabs>
          <w:tab w:val="left" w:pos="1080"/>
        </w:tabs>
        <w:ind w:left="1440" w:hanging="720"/>
        <w:rPr>
          <w:b w:val="0"/>
          <w:bCs w:val="0"/>
        </w:rPr>
      </w:pPr>
      <w:r>
        <w:rPr>
          <w:b w:val="0"/>
          <w:bCs w:val="0"/>
        </w:rPr>
        <w:t>A.2.23 The analyst</w:t>
      </w:r>
      <w:r>
        <w:rPr>
          <w:b w:val="0"/>
          <w:bCs w:val="0"/>
        </w:rPr>
        <w:t xml:space="preserve"> must select from the menu and input the percent confidence.</w:t>
      </w:r>
      <w:r>
        <w:t xml:space="preserve">  </w:t>
      </w:r>
      <w:r>
        <w:rPr>
          <w:b w:val="0"/>
          <w:bCs w:val="0"/>
        </w:rPr>
        <w:t xml:space="preserve">The following table (Table A.1) is a list of available confidence levels with corresponding coverage factors based on 20 analytical measurements. </w:t>
      </w:r>
    </w:p>
    <w:p w:rsidR="00000000" w:rsidRDefault="00657A20">
      <w:pPr>
        <w:pStyle w:val="BodyTextIndent2"/>
        <w:tabs>
          <w:tab w:val="left" w:pos="1080"/>
        </w:tabs>
        <w:spacing w:line="360" w:lineRule="auto"/>
        <w:jc w:val="center"/>
        <w:rPr>
          <w:b/>
          <w:bCs/>
          <w:u w:val="single"/>
        </w:rPr>
      </w:pPr>
    </w:p>
    <w:p w:rsidR="00000000" w:rsidRDefault="00657A20">
      <w:pPr>
        <w:pStyle w:val="BodyTextIndent2"/>
        <w:tabs>
          <w:tab w:val="left" w:pos="1080"/>
        </w:tabs>
        <w:spacing w:line="360" w:lineRule="auto"/>
        <w:jc w:val="center"/>
        <w:rPr>
          <w:b/>
          <w:bCs/>
          <w:u w:val="single"/>
        </w:rPr>
      </w:pPr>
    </w:p>
    <w:p w:rsidR="00000000" w:rsidRDefault="00657A20">
      <w:pPr>
        <w:pStyle w:val="BodyTextIndent2"/>
        <w:tabs>
          <w:tab w:val="left" w:pos="1080"/>
        </w:tabs>
        <w:spacing w:line="360" w:lineRule="auto"/>
        <w:jc w:val="center"/>
        <w:rPr>
          <w:b/>
          <w:bCs/>
          <w:u w:val="single"/>
        </w:rPr>
      </w:pPr>
    </w:p>
    <w:p w:rsidR="00000000" w:rsidRDefault="00657A20">
      <w:pPr>
        <w:pStyle w:val="BodyTextIndent2"/>
        <w:tabs>
          <w:tab w:val="left" w:pos="1080"/>
        </w:tabs>
        <w:spacing w:line="360" w:lineRule="auto"/>
        <w:jc w:val="center"/>
        <w:rPr>
          <w:b/>
          <w:bCs/>
          <w:u w:val="single"/>
        </w:rPr>
      </w:pPr>
      <w:r>
        <w:rPr>
          <w:b/>
          <w:bCs/>
          <w:u w:val="single"/>
        </w:rPr>
        <w:lastRenderedPageBreak/>
        <w:t>TABLE A.1: CONFIDENCE LEVELS AND COVERAGE FA</w:t>
      </w:r>
      <w:r>
        <w:rPr>
          <w:b/>
          <w:bCs/>
          <w:u w:val="single"/>
        </w:rPr>
        <w:t xml:space="preserve">CTORS </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8"/>
        <w:gridCol w:w="5508"/>
      </w:tblGrid>
      <w:tr w:rsidR="00000000">
        <w:tblPrEx>
          <w:tblCellMar>
            <w:top w:w="0" w:type="dxa"/>
            <w:bottom w:w="0" w:type="dxa"/>
          </w:tblCellMar>
        </w:tblPrEx>
        <w:tc>
          <w:tcPr>
            <w:tcW w:w="3528" w:type="dxa"/>
          </w:tcPr>
          <w:p w:rsidR="00000000" w:rsidRDefault="00657A20">
            <w:pPr>
              <w:pStyle w:val="BodyTextIndent2"/>
              <w:tabs>
                <w:tab w:val="left" w:pos="1080"/>
              </w:tabs>
              <w:spacing w:line="360" w:lineRule="auto"/>
              <w:jc w:val="center"/>
              <w:rPr>
                <w:b/>
                <w:bCs/>
              </w:rPr>
            </w:pPr>
            <w:r>
              <w:rPr>
                <w:b/>
                <w:bCs/>
              </w:rPr>
              <w:t>Confidence Level</w:t>
            </w:r>
          </w:p>
          <w:p w:rsidR="00000000" w:rsidRDefault="00657A20">
            <w:pPr>
              <w:pStyle w:val="BodyTextIndent2"/>
              <w:tabs>
                <w:tab w:val="left" w:pos="1080"/>
              </w:tabs>
              <w:spacing w:line="360" w:lineRule="auto"/>
              <w:jc w:val="center"/>
              <w:rPr>
                <w:b/>
                <w:bCs/>
              </w:rPr>
            </w:pPr>
            <w:r>
              <w:rPr>
                <w:b/>
                <w:bCs/>
              </w:rPr>
              <w:t>(Percent Confidence)</w:t>
            </w:r>
          </w:p>
        </w:tc>
        <w:tc>
          <w:tcPr>
            <w:tcW w:w="5508" w:type="dxa"/>
          </w:tcPr>
          <w:p w:rsidR="00000000" w:rsidRDefault="00657A20">
            <w:pPr>
              <w:pStyle w:val="BodyTextIndent2"/>
              <w:tabs>
                <w:tab w:val="left" w:pos="1080"/>
              </w:tabs>
              <w:spacing w:line="360" w:lineRule="auto"/>
              <w:jc w:val="center"/>
              <w:rPr>
                <w:b/>
                <w:bCs/>
              </w:rPr>
            </w:pPr>
            <w:r>
              <w:rPr>
                <w:b/>
                <w:bCs/>
              </w:rPr>
              <w:t>Two-Tailed Distribution Coverage Factor</w:t>
            </w:r>
          </w:p>
          <w:p w:rsidR="00000000" w:rsidRDefault="00657A20">
            <w:pPr>
              <w:pStyle w:val="BodyTextIndent2"/>
              <w:tabs>
                <w:tab w:val="left" w:pos="1080"/>
              </w:tabs>
              <w:spacing w:line="360" w:lineRule="auto"/>
              <w:jc w:val="center"/>
              <w:rPr>
                <w:b/>
                <w:bCs/>
              </w:rPr>
            </w:pPr>
            <w:r>
              <w:rPr>
                <w:b/>
                <w:bCs/>
              </w:rPr>
              <w:t>(Student’s t-Value for 19 Degrees of Freedom)</w:t>
            </w:r>
          </w:p>
        </w:tc>
      </w:tr>
      <w:tr w:rsidR="00000000">
        <w:tblPrEx>
          <w:tblCellMar>
            <w:top w:w="0" w:type="dxa"/>
            <w:bottom w:w="0" w:type="dxa"/>
          </w:tblCellMar>
        </w:tblPrEx>
        <w:tc>
          <w:tcPr>
            <w:tcW w:w="3528" w:type="dxa"/>
          </w:tcPr>
          <w:p w:rsidR="00000000" w:rsidRDefault="00657A20">
            <w:pPr>
              <w:pStyle w:val="BodyTextIndent2"/>
              <w:tabs>
                <w:tab w:val="left" w:pos="1080"/>
              </w:tabs>
              <w:spacing w:line="360" w:lineRule="auto"/>
              <w:jc w:val="center"/>
              <w:rPr>
                <w:b/>
                <w:bCs/>
              </w:rPr>
            </w:pPr>
            <w:r>
              <w:rPr>
                <w:b/>
                <w:bCs/>
              </w:rPr>
              <w:t>80</w:t>
            </w:r>
          </w:p>
        </w:tc>
        <w:tc>
          <w:tcPr>
            <w:tcW w:w="5508" w:type="dxa"/>
          </w:tcPr>
          <w:p w:rsidR="00000000" w:rsidRDefault="00657A20">
            <w:pPr>
              <w:pStyle w:val="BodyTextIndent2"/>
              <w:tabs>
                <w:tab w:val="left" w:pos="1080"/>
              </w:tabs>
              <w:spacing w:line="360" w:lineRule="auto"/>
              <w:jc w:val="center"/>
              <w:rPr>
                <w:b/>
                <w:bCs/>
              </w:rPr>
            </w:pPr>
            <w:r>
              <w:rPr>
                <w:b/>
                <w:bCs/>
              </w:rPr>
              <w:t>1.328</w:t>
            </w:r>
          </w:p>
        </w:tc>
      </w:tr>
      <w:tr w:rsidR="00000000">
        <w:tblPrEx>
          <w:tblCellMar>
            <w:top w:w="0" w:type="dxa"/>
            <w:bottom w:w="0" w:type="dxa"/>
          </w:tblCellMar>
        </w:tblPrEx>
        <w:tc>
          <w:tcPr>
            <w:tcW w:w="3528" w:type="dxa"/>
          </w:tcPr>
          <w:p w:rsidR="00000000" w:rsidRDefault="00657A20">
            <w:pPr>
              <w:pStyle w:val="BodyTextIndent2"/>
              <w:tabs>
                <w:tab w:val="left" w:pos="1080"/>
              </w:tabs>
              <w:spacing w:line="360" w:lineRule="auto"/>
              <w:jc w:val="center"/>
              <w:rPr>
                <w:b/>
                <w:bCs/>
              </w:rPr>
            </w:pPr>
            <w:r>
              <w:rPr>
                <w:b/>
                <w:bCs/>
              </w:rPr>
              <w:t>90</w:t>
            </w:r>
          </w:p>
        </w:tc>
        <w:tc>
          <w:tcPr>
            <w:tcW w:w="5508" w:type="dxa"/>
          </w:tcPr>
          <w:p w:rsidR="00000000" w:rsidRDefault="00657A20">
            <w:pPr>
              <w:pStyle w:val="BodyTextIndent2"/>
              <w:tabs>
                <w:tab w:val="left" w:pos="1080"/>
              </w:tabs>
              <w:spacing w:line="360" w:lineRule="auto"/>
              <w:jc w:val="center"/>
              <w:rPr>
                <w:b/>
                <w:bCs/>
              </w:rPr>
            </w:pPr>
            <w:r>
              <w:rPr>
                <w:b/>
                <w:bCs/>
              </w:rPr>
              <w:t>1.729</w:t>
            </w:r>
          </w:p>
        </w:tc>
      </w:tr>
      <w:tr w:rsidR="00000000">
        <w:tblPrEx>
          <w:tblCellMar>
            <w:top w:w="0" w:type="dxa"/>
            <w:bottom w:w="0" w:type="dxa"/>
          </w:tblCellMar>
        </w:tblPrEx>
        <w:tc>
          <w:tcPr>
            <w:tcW w:w="3528" w:type="dxa"/>
          </w:tcPr>
          <w:p w:rsidR="00000000" w:rsidRDefault="00657A20">
            <w:pPr>
              <w:pStyle w:val="BodyTextIndent2"/>
              <w:tabs>
                <w:tab w:val="left" w:pos="1080"/>
              </w:tabs>
              <w:spacing w:line="360" w:lineRule="auto"/>
              <w:jc w:val="center"/>
              <w:rPr>
                <w:b/>
                <w:bCs/>
              </w:rPr>
            </w:pPr>
            <w:r>
              <w:rPr>
                <w:b/>
                <w:bCs/>
              </w:rPr>
              <w:t>95</w:t>
            </w:r>
          </w:p>
        </w:tc>
        <w:tc>
          <w:tcPr>
            <w:tcW w:w="5508" w:type="dxa"/>
          </w:tcPr>
          <w:p w:rsidR="00000000" w:rsidRDefault="00657A20">
            <w:pPr>
              <w:pStyle w:val="BodyTextIndent2"/>
              <w:tabs>
                <w:tab w:val="left" w:pos="1080"/>
              </w:tabs>
              <w:spacing w:line="360" w:lineRule="auto"/>
              <w:jc w:val="center"/>
              <w:rPr>
                <w:b/>
                <w:bCs/>
              </w:rPr>
            </w:pPr>
            <w:r>
              <w:rPr>
                <w:b/>
                <w:bCs/>
              </w:rPr>
              <w:t>2.093</w:t>
            </w:r>
          </w:p>
        </w:tc>
      </w:tr>
      <w:tr w:rsidR="00000000">
        <w:tblPrEx>
          <w:tblCellMar>
            <w:top w:w="0" w:type="dxa"/>
            <w:bottom w:w="0" w:type="dxa"/>
          </w:tblCellMar>
        </w:tblPrEx>
        <w:tc>
          <w:tcPr>
            <w:tcW w:w="3528" w:type="dxa"/>
          </w:tcPr>
          <w:p w:rsidR="00000000" w:rsidRDefault="00657A20">
            <w:pPr>
              <w:pStyle w:val="BodyTextIndent2"/>
              <w:tabs>
                <w:tab w:val="left" w:pos="1080"/>
              </w:tabs>
              <w:spacing w:line="360" w:lineRule="auto"/>
              <w:jc w:val="center"/>
              <w:rPr>
                <w:b/>
                <w:bCs/>
              </w:rPr>
            </w:pPr>
            <w:r>
              <w:rPr>
                <w:b/>
                <w:bCs/>
              </w:rPr>
              <w:t>99</w:t>
            </w:r>
          </w:p>
        </w:tc>
        <w:tc>
          <w:tcPr>
            <w:tcW w:w="5508" w:type="dxa"/>
          </w:tcPr>
          <w:p w:rsidR="00000000" w:rsidRDefault="00657A20">
            <w:pPr>
              <w:pStyle w:val="BodyTextIndent2"/>
              <w:tabs>
                <w:tab w:val="left" w:pos="1080"/>
              </w:tabs>
              <w:spacing w:line="360" w:lineRule="auto"/>
              <w:jc w:val="center"/>
              <w:rPr>
                <w:b/>
                <w:bCs/>
              </w:rPr>
            </w:pPr>
            <w:r>
              <w:rPr>
                <w:b/>
                <w:bCs/>
              </w:rPr>
              <w:t>2.861</w:t>
            </w:r>
          </w:p>
        </w:tc>
      </w:tr>
    </w:tbl>
    <w:p w:rsidR="00000000" w:rsidRDefault="00657A20">
      <w:pPr>
        <w:pStyle w:val="BodyText"/>
        <w:spacing w:line="360" w:lineRule="auto"/>
        <w:ind w:left="1440" w:hanging="720"/>
      </w:pPr>
    </w:p>
    <w:p w:rsidR="00000000" w:rsidRDefault="00657A20">
      <w:pPr>
        <w:pStyle w:val="BodyText"/>
        <w:spacing w:line="360" w:lineRule="auto"/>
        <w:ind w:left="1440" w:hanging="720"/>
      </w:pPr>
      <w:r>
        <w:t>A.2.24 After selection of the confidence level, the spreadsheet automatically prese</w:t>
      </w:r>
      <w:r>
        <w:t xml:space="preserve">nts the coverage factor and calculates the Relative Analytical Measurement Uncertainty and the Relative Systematic Error. </w:t>
      </w:r>
    </w:p>
    <w:p w:rsidR="00000000" w:rsidRDefault="00657A20">
      <w:pPr>
        <w:pStyle w:val="BodyText"/>
        <w:spacing w:line="360" w:lineRule="auto"/>
        <w:ind w:left="1440" w:hanging="720"/>
      </w:pPr>
      <w:r>
        <w:t>A.2.25 The combining relative standard uncertainty in percent for routine single test measurements (</w:t>
      </w:r>
      <w:r>
        <w:rPr>
          <w:i/>
          <w:iCs/>
          <w:sz w:val="28"/>
          <w:vertAlign w:val="superscript"/>
        </w:rPr>
        <w:t>RST</w:t>
      </w:r>
      <w:r>
        <w:rPr>
          <w:i/>
          <w:iCs/>
          <w:sz w:val="28"/>
        </w:rPr>
        <w:t>u</w:t>
      </w:r>
      <w:r>
        <w:rPr>
          <w:i/>
          <w:iCs/>
          <w:sz w:val="28"/>
          <w:vertAlign w:val="subscript"/>
        </w:rPr>
        <w:t>r</w:t>
      </w:r>
      <w:r>
        <w:t>) is a combination of IME, P</w:t>
      </w:r>
      <w:r>
        <w:t>ME, and MIE in Equation A.24.</w:t>
      </w:r>
    </w:p>
    <w:p w:rsidR="00000000" w:rsidRDefault="00657A20">
      <w:pPr>
        <w:pStyle w:val="BodyText"/>
        <w:spacing w:line="360" w:lineRule="auto"/>
        <w:jc w:val="center"/>
      </w:pPr>
      <w:r>
        <w:rPr>
          <w:i/>
          <w:vertAlign w:val="superscript"/>
        </w:rPr>
        <w:tab/>
        <w:t xml:space="preserve">   </w:t>
      </w:r>
      <w:r>
        <w:rPr>
          <w:position w:val="-16"/>
        </w:rPr>
        <w:object w:dxaOrig="4780" w:dyaOrig="480">
          <v:shape id="_x0000_i1070" type="#_x0000_t75" style="width:239.25pt;height:24pt" o:ole="" fillcolor="window">
            <v:imagedata r:id="rId95" o:title=""/>
          </v:shape>
          <o:OLEObject Type="Embed" ProgID="Equation.3" ShapeID="_x0000_i1070" DrawAspect="Content" ObjectID="_1742211804" r:id="rId96"/>
        </w:object>
      </w:r>
    </w:p>
    <w:p w:rsidR="00000000" w:rsidRDefault="00657A20">
      <w:pPr>
        <w:pStyle w:val="BodyText"/>
        <w:spacing w:line="360" w:lineRule="auto"/>
        <w:rPr>
          <w:b/>
          <w:bCs/>
          <w:u w:val="single"/>
        </w:rPr>
      </w:pPr>
      <w:r>
        <w:rPr>
          <w:b/>
          <w:bCs/>
          <w:u w:val="single"/>
        </w:rPr>
        <w:t>Equation A.24</w:t>
      </w:r>
    </w:p>
    <w:p w:rsidR="00000000" w:rsidRDefault="00657A20">
      <w:pPr>
        <w:spacing w:line="360" w:lineRule="auto"/>
        <w:ind w:left="1440" w:hanging="720"/>
        <w:rPr>
          <w:sz w:val="24"/>
        </w:rPr>
      </w:pPr>
      <w:r>
        <w:rPr>
          <w:sz w:val="24"/>
        </w:rPr>
        <w:t xml:space="preserve">A.2.26 The combined standard uncertainty is expanded to the specified confidence level by multiplying the </w:t>
      </w:r>
      <w:r>
        <w:rPr>
          <w:i/>
          <w:iCs/>
          <w:sz w:val="28"/>
          <w:vertAlign w:val="superscript"/>
        </w:rPr>
        <w:t>RST</w:t>
      </w:r>
      <w:r>
        <w:rPr>
          <w:i/>
          <w:iCs/>
          <w:sz w:val="28"/>
        </w:rPr>
        <w:t>u</w:t>
      </w:r>
      <w:r>
        <w:rPr>
          <w:i/>
          <w:iCs/>
          <w:sz w:val="28"/>
          <w:vertAlign w:val="subscript"/>
        </w:rPr>
        <w:t>r</w:t>
      </w:r>
      <w:r>
        <w:rPr>
          <w:sz w:val="24"/>
        </w:rPr>
        <w:t xml:space="preserve"> by the appropriate coverage factor.</w:t>
      </w:r>
    </w:p>
    <w:p w:rsidR="00000000" w:rsidRDefault="00657A20">
      <w:pPr>
        <w:spacing w:line="360" w:lineRule="auto"/>
        <w:ind w:left="1440" w:hanging="720"/>
        <w:rPr>
          <w:sz w:val="24"/>
        </w:rPr>
      </w:pPr>
      <w:r>
        <w:rPr>
          <w:sz w:val="24"/>
        </w:rPr>
        <w:t xml:space="preserve">A.2.27 The combined relative bias in </w:t>
      </w:r>
      <w:r>
        <w:rPr>
          <w:sz w:val="24"/>
        </w:rPr>
        <w:t xml:space="preserve">percent for the routine single test measurements </w:t>
      </w:r>
      <w:r>
        <w:rPr>
          <w:position w:val="-10"/>
        </w:rPr>
        <w:object w:dxaOrig="859" w:dyaOrig="380">
          <v:shape id="_x0000_i1071" type="#_x0000_t75" style="width:42.75pt;height:18.75pt" o:ole="" fillcolor="window">
            <v:imagedata r:id="rId97" o:title=""/>
          </v:shape>
          <o:OLEObject Type="Embed" ProgID="Equation.3" ShapeID="_x0000_i1071" DrawAspect="Content" ObjectID="_1742211805" r:id="rId98"/>
        </w:object>
      </w:r>
      <w:r>
        <w:rPr>
          <w:sz w:val="24"/>
        </w:rPr>
        <w:t xml:space="preserve"> is a combination of IME, PME, and MIE in Equation A.25.</w:t>
      </w:r>
    </w:p>
    <w:p w:rsidR="00000000" w:rsidRDefault="00657A20">
      <w:pPr>
        <w:pStyle w:val="BodyText"/>
        <w:spacing w:line="360" w:lineRule="auto"/>
        <w:jc w:val="center"/>
      </w:pPr>
      <w:r>
        <w:rPr>
          <w:position w:val="-10"/>
        </w:rPr>
        <w:object w:dxaOrig="6380" w:dyaOrig="380">
          <v:shape id="_x0000_i1072" type="#_x0000_t75" style="width:318.75pt;height:18.75pt" o:ole="" fillcolor="window">
            <v:imagedata r:id="rId99" o:title=""/>
          </v:shape>
          <o:OLEObject Type="Embed" ProgID="Equation.3" ShapeID="_x0000_i1072" DrawAspect="Content" ObjectID="_1742211806" r:id="rId100"/>
        </w:object>
      </w:r>
    </w:p>
    <w:p w:rsidR="00000000" w:rsidRDefault="00657A20">
      <w:pPr>
        <w:pStyle w:val="BodyText"/>
        <w:spacing w:line="360" w:lineRule="auto"/>
        <w:rPr>
          <w:b/>
          <w:bCs/>
          <w:u w:val="single"/>
        </w:rPr>
      </w:pPr>
      <w:r>
        <w:rPr>
          <w:b/>
          <w:bCs/>
          <w:u w:val="single"/>
        </w:rPr>
        <w:t>Equation A.25</w:t>
      </w:r>
    </w:p>
    <w:p w:rsidR="00000000" w:rsidRDefault="00657A20">
      <w:pPr>
        <w:pStyle w:val="Heading5"/>
        <w:rPr>
          <w:b w:val="0"/>
          <w:bCs w:val="0"/>
        </w:rPr>
      </w:pPr>
      <w:r>
        <w:rPr>
          <w:b w:val="0"/>
          <w:bCs w:val="0"/>
        </w:rPr>
        <w:t>A.2.28 On page 3 the analyst must enter the analytical measurement and the units of the ana</w:t>
      </w:r>
      <w:r>
        <w:rPr>
          <w:b w:val="0"/>
          <w:bCs w:val="0"/>
        </w:rPr>
        <w:t>lytical measurement.</w:t>
      </w:r>
    </w:p>
    <w:p w:rsidR="00000000" w:rsidRDefault="00657A20">
      <w:pPr>
        <w:pStyle w:val="Heading5"/>
      </w:pPr>
      <w:r>
        <w:rPr>
          <w:b w:val="0"/>
          <w:bCs w:val="0"/>
        </w:rPr>
        <w:t>A.2.29 The spreadsheet automatically calculates and presents the uncertainty interval expanded to the specified level of confidence for the test result. The calculation of the confidence interval (</w:t>
      </w:r>
      <w:r>
        <w:rPr>
          <w:b w:val="0"/>
          <w:bCs w:val="0"/>
          <w:i/>
          <w:iCs/>
        </w:rPr>
        <w:t xml:space="preserve">CI) </w:t>
      </w:r>
      <w:r>
        <w:rPr>
          <w:b w:val="0"/>
          <w:bCs w:val="0"/>
        </w:rPr>
        <w:t>for the analytical measurement res</w:t>
      </w:r>
      <w:r>
        <w:rPr>
          <w:b w:val="0"/>
          <w:bCs w:val="0"/>
        </w:rPr>
        <w:t>ult (</w:t>
      </w:r>
      <w:r>
        <w:rPr>
          <w:b w:val="0"/>
          <w:bCs w:val="0"/>
          <w:i/>
          <w:iCs/>
        </w:rPr>
        <w:t>C</w:t>
      </w:r>
      <w:r>
        <w:rPr>
          <w:b w:val="0"/>
          <w:bCs w:val="0"/>
          <w:i/>
          <w:iCs/>
          <w:vertAlign w:val="subscript"/>
        </w:rPr>
        <w:t>m</w:t>
      </w:r>
      <w:r>
        <w:rPr>
          <w:b w:val="0"/>
          <w:bCs w:val="0"/>
        </w:rPr>
        <w:t>) is presented in Equation A.26</w:t>
      </w:r>
      <w:r>
        <w:t>.</w:t>
      </w:r>
    </w:p>
    <w:p w:rsidR="00000000" w:rsidRDefault="00657A20">
      <w:pPr>
        <w:jc w:val="center"/>
        <w:rPr>
          <w:i/>
          <w:iCs/>
          <w:sz w:val="28"/>
        </w:rPr>
      </w:pPr>
      <w:r>
        <w:rPr>
          <w:i/>
          <w:iCs/>
          <w:sz w:val="28"/>
        </w:rPr>
        <w:t>CI = C</w:t>
      </w:r>
      <w:r>
        <w:rPr>
          <w:i/>
          <w:iCs/>
          <w:sz w:val="28"/>
          <w:vertAlign w:val="subscript"/>
        </w:rPr>
        <w:t>m</w:t>
      </w:r>
      <w:r>
        <w:rPr>
          <w:i/>
          <w:iCs/>
          <w:sz w:val="28"/>
        </w:rPr>
        <w:t xml:space="preserve"> </w:t>
      </w:r>
      <w:r>
        <w:rPr>
          <w:i/>
          <w:iCs/>
          <w:sz w:val="28"/>
        </w:rPr>
        <w:sym w:font="Symbol" w:char="F0B1"/>
      </w:r>
      <w:r>
        <w:rPr>
          <w:i/>
          <w:iCs/>
          <w:sz w:val="28"/>
        </w:rPr>
        <w:t xml:space="preserve"> (C</w:t>
      </w:r>
      <w:r>
        <w:rPr>
          <w:i/>
          <w:iCs/>
          <w:sz w:val="28"/>
          <w:vertAlign w:val="subscript"/>
        </w:rPr>
        <w:t>m</w:t>
      </w:r>
      <w:r>
        <w:rPr>
          <w:i/>
          <w:iCs/>
          <w:sz w:val="28"/>
        </w:rPr>
        <w:t>)*(k*</w:t>
      </w:r>
      <w:r>
        <w:rPr>
          <w:i/>
          <w:iCs/>
          <w:sz w:val="28"/>
          <w:vertAlign w:val="subscript"/>
        </w:rPr>
        <w:t xml:space="preserve"> </w:t>
      </w:r>
      <w:r>
        <w:rPr>
          <w:i/>
          <w:iCs/>
          <w:sz w:val="28"/>
          <w:vertAlign w:val="superscript"/>
        </w:rPr>
        <w:t>RST</w:t>
      </w:r>
      <w:r>
        <w:rPr>
          <w:i/>
          <w:iCs/>
          <w:sz w:val="28"/>
        </w:rPr>
        <w:t>u</w:t>
      </w:r>
      <w:r>
        <w:rPr>
          <w:i/>
          <w:iCs/>
          <w:sz w:val="28"/>
          <w:vertAlign w:val="subscript"/>
        </w:rPr>
        <w:t>r</w:t>
      </w:r>
      <w:r>
        <w:rPr>
          <w:i/>
          <w:iCs/>
          <w:sz w:val="28"/>
        </w:rPr>
        <w:t>)</w:t>
      </w:r>
    </w:p>
    <w:p w:rsidR="00000000" w:rsidRDefault="00657A20">
      <w:pPr>
        <w:pStyle w:val="BodyText"/>
        <w:spacing w:line="360" w:lineRule="auto"/>
        <w:rPr>
          <w:b/>
          <w:bCs/>
          <w:u w:val="single"/>
        </w:rPr>
      </w:pPr>
      <w:r>
        <w:rPr>
          <w:b/>
          <w:bCs/>
          <w:u w:val="single"/>
        </w:rPr>
        <w:t>Equation A.26</w:t>
      </w:r>
    </w:p>
    <w:p w:rsidR="00000000" w:rsidRDefault="00657A20">
      <w:pPr>
        <w:pStyle w:val="Heading5"/>
        <w:tabs>
          <w:tab w:val="left" w:pos="3807"/>
        </w:tabs>
        <w:rPr>
          <w:b w:val="0"/>
          <w:bCs w:val="0"/>
        </w:rPr>
      </w:pPr>
      <w:r>
        <w:rPr>
          <w:b w:val="0"/>
          <w:bCs w:val="0"/>
        </w:rPr>
        <w:lastRenderedPageBreak/>
        <w:t>A.2.30 The spreadsheet automatically calculates and presents the bias corrected results (</w:t>
      </w:r>
      <w:r>
        <w:rPr>
          <w:b w:val="0"/>
          <w:bCs w:val="0"/>
          <w:i/>
          <w:iCs/>
        </w:rPr>
        <w:t>C</w:t>
      </w:r>
      <w:r>
        <w:rPr>
          <w:b w:val="0"/>
          <w:bCs w:val="0"/>
          <w:i/>
          <w:iCs/>
          <w:vertAlign w:val="subscript"/>
        </w:rPr>
        <w:t>mBC</w:t>
      </w:r>
      <w:r>
        <w:rPr>
          <w:b w:val="0"/>
          <w:bCs w:val="0"/>
        </w:rPr>
        <w:t>) and the bias-corrected confidence interval (</w:t>
      </w:r>
      <w:r>
        <w:rPr>
          <w:b w:val="0"/>
          <w:bCs w:val="0"/>
          <w:i/>
          <w:iCs/>
        </w:rPr>
        <w:t>CI</w:t>
      </w:r>
      <w:r>
        <w:rPr>
          <w:b w:val="0"/>
          <w:bCs w:val="0"/>
          <w:i/>
          <w:iCs/>
          <w:vertAlign w:val="subscript"/>
        </w:rPr>
        <w:t>BC</w:t>
      </w:r>
      <w:r>
        <w:rPr>
          <w:b w:val="0"/>
          <w:bCs w:val="0"/>
        </w:rPr>
        <w:t>) expanded to the specified confi</w:t>
      </w:r>
      <w:r>
        <w:rPr>
          <w:b w:val="0"/>
          <w:bCs w:val="0"/>
        </w:rPr>
        <w:t>dence level for the test result in Equations A.27a and A.27b.</w:t>
      </w:r>
    </w:p>
    <w:p w:rsidR="00000000" w:rsidRDefault="00657A20">
      <w:pPr>
        <w:jc w:val="center"/>
        <w:rPr>
          <w:i/>
          <w:iCs/>
          <w:sz w:val="28"/>
        </w:rPr>
      </w:pPr>
      <w:r>
        <w:rPr>
          <w:i/>
          <w:iCs/>
          <w:sz w:val="28"/>
        </w:rPr>
        <w:t>C</w:t>
      </w:r>
      <w:r>
        <w:rPr>
          <w:i/>
          <w:iCs/>
          <w:sz w:val="28"/>
          <w:vertAlign w:val="subscript"/>
        </w:rPr>
        <w:t>mBC</w:t>
      </w:r>
      <w:r>
        <w:rPr>
          <w:i/>
          <w:iCs/>
          <w:sz w:val="28"/>
        </w:rPr>
        <w:t xml:space="preserve"> = </w:t>
      </w:r>
      <w:r>
        <w:rPr>
          <w:position w:val="-32"/>
        </w:rPr>
        <w:object w:dxaOrig="2280" w:dyaOrig="760">
          <v:shape id="_x0000_i1073" type="#_x0000_t75" style="width:114pt;height:38.25pt" o:ole="" fillcolor="window">
            <v:imagedata r:id="rId101" o:title=""/>
          </v:shape>
          <o:OLEObject Type="Embed" ProgID="Equation.3" ShapeID="_x0000_i1073" DrawAspect="Content" ObjectID="_1742211807" r:id="rId102"/>
        </w:object>
      </w:r>
    </w:p>
    <w:p w:rsidR="00000000" w:rsidRDefault="00657A20">
      <w:pPr>
        <w:pStyle w:val="BodyText"/>
        <w:spacing w:line="360" w:lineRule="auto"/>
        <w:rPr>
          <w:b/>
          <w:bCs/>
          <w:u w:val="single"/>
        </w:rPr>
      </w:pPr>
      <w:r>
        <w:rPr>
          <w:b/>
          <w:bCs/>
          <w:u w:val="single"/>
        </w:rPr>
        <w:t>Equation A.27a</w:t>
      </w:r>
    </w:p>
    <w:p w:rsidR="00000000" w:rsidRDefault="00657A20">
      <w:pPr>
        <w:jc w:val="center"/>
        <w:rPr>
          <w:i/>
          <w:iCs/>
          <w:sz w:val="28"/>
        </w:rPr>
      </w:pPr>
      <w:r>
        <w:rPr>
          <w:i/>
          <w:iCs/>
          <w:sz w:val="28"/>
        </w:rPr>
        <w:t>CI</w:t>
      </w:r>
      <w:r>
        <w:rPr>
          <w:i/>
          <w:iCs/>
          <w:sz w:val="28"/>
          <w:vertAlign w:val="subscript"/>
        </w:rPr>
        <w:t>BC</w:t>
      </w:r>
      <w:r>
        <w:rPr>
          <w:i/>
          <w:iCs/>
          <w:sz w:val="28"/>
        </w:rPr>
        <w:t xml:space="preserve"> = C</w:t>
      </w:r>
      <w:r>
        <w:rPr>
          <w:i/>
          <w:iCs/>
          <w:sz w:val="28"/>
          <w:vertAlign w:val="subscript"/>
        </w:rPr>
        <w:t>mBC</w:t>
      </w:r>
      <w:r>
        <w:rPr>
          <w:i/>
          <w:iCs/>
          <w:sz w:val="28"/>
        </w:rPr>
        <w:t xml:space="preserve"> </w:t>
      </w:r>
      <w:r>
        <w:rPr>
          <w:i/>
          <w:iCs/>
          <w:sz w:val="28"/>
        </w:rPr>
        <w:sym w:font="Symbol" w:char="F0B1"/>
      </w:r>
      <w:r>
        <w:rPr>
          <w:i/>
          <w:iCs/>
          <w:sz w:val="28"/>
        </w:rPr>
        <w:t xml:space="preserve"> (C</w:t>
      </w:r>
      <w:r>
        <w:rPr>
          <w:i/>
          <w:iCs/>
          <w:sz w:val="28"/>
          <w:vertAlign w:val="subscript"/>
        </w:rPr>
        <w:t>mBC</w:t>
      </w:r>
      <w:r>
        <w:rPr>
          <w:i/>
          <w:iCs/>
          <w:sz w:val="28"/>
        </w:rPr>
        <w:t>)*(k*</w:t>
      </w:r>
      <w:r>
        <w:rPr>
          <w:i/>
          <w:iCs/>
          <w:sz w:val="28"/>
          <w:vertAlign w:val="subscript"/>
        </w:rPr>
        <w:t xml:space="preserve"> </w:t>
      </w:r>
      <w:r>
        <w:rPr>
          <w:i/>
          <w:iCs/>
          <w:sz w:val="28"/>
          <w:vertAlign w:val="superscript"/>
        </w:rPr>
        <w:t>RST</w:t>
      </w:r>
      <w:r>
        <w:rPr>
          <w:i/>
          <w:iCs/>
          <w:sz w:val="28"/>
        </w:rPr>
        <w:t>u</w:t>
      </w:r>
      <w:r>
        <w:rPr>
          <w:i/>
          <w:iCs/>
          <w:sz w:val="28"/>
          <w:vertAlign w:val="subscript"/>
        </w:rPr>
        <w:t>r</w:t>
      </w:r>
      <w:r>
        <w:rPr>
          <w:i/>
          <w:iCs/>
          <w:sz w:val="28"/>
        </w:rPr>
        <w:t>)</w:t>
      </w:r>
    </w:p>
    <w:p w:rsidR="00000000" w:rsidRDefault="00657A20">
      <w:pPr>
        <w:pStyle w:val="BodyText"/>
        <w:spacing w:line="360" w:lineRule="auto"/>
        <w:rPr>
          <w:b/>
          <w:bCs/>
          <w:u w:val="single"/>
        </w:rPr>
      </w:pPr>
      <w:r>
        <w:rPr>
          <w:b/>
          <w:bCs/>
          <w:u w:val="single"/>
        </w:rPr>
        <w:t>Equation A.27b</w:t>
      </w:r>
    </w:p>
    <w:p w:rsidR="00000000" w:rsidRDefault="00657A20">
      <w:pPr>
        <w:pStyle w:val="Heading5"/>
        <w:tabs>
          <w:tab w:val="left" w:pos="3807"/>
        </w:tabs>
      </w:pPr>
      <w:r>
        <w:br w:type="page"/>
      </w:r>
      <w:r>
        <w:lastRenderedPageBreak/>
        <w:t>APPENDIX B: GENERAL UNCERTAINTY BUDGET</w:t>
      </w:r>
    </w:p>
    <w:p w:rsidR="00000000" w:rsidRDefault="00657A20">
      <w:pPr>
        <w:pStyle w:val="BodyText3"/>
        <w:widowControl/>
        <w:autoSpaceDE/>
        <w:autoSpaceDN/>
        <w:adjustRightInd/>
        <w:spacing w:line="360" w:lineRule="auto"/>
      </w:pPr>
      <w:r>
        <w:t>The general components of sampling and testing that are source</w:t>
      </w:r>
      <w:r>
        <w:t>s of analytical measurement uncertainty are tabulated in the following table (Table B-1).</w:t>
      </w:r>
    </w:p>
    <w:p w:rsidR="00000000" w:rsidRDefault="00657A20">
      <w:pPr>
        <w:pStyle w:val="BodyText3"/>
        <w:widowControl/>
        <w:autoSpaceDE/>
        <w:autoSpaceDN/>
        <w:adjustRightInd/>
        <w:spacing w:line="360" w:lineRule="auto"/>
        <w:jc w:val="center"/>
        <w:rPr>
          <w:b/>
          <w:bCs/>
          <w:u w:val="single"/>
        </w:rPr>
      </w:pPr>
      <w:r>
        <w:rPr>
          <w:b/>
          <w:bCs/>
          <w:u w:val="single"/>
        </w:rPr>
        <w:t>TABLE B-1: SOURCES OF UNCERTAINTY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78"/>
        <w:gridCol w:w="990"/>
        <w:gridCol w:w="4680"/>
        <w:gridCol w:w="1710"/>
      </w:tblGrid>
      <w:tr w:rsidR="00000000">
        <w:tblPrEx>
          <w:tblCellMar>
            <w:top w:w="0" w:type="dxa"/>
            <w:bottom w:w="0" w:type="dxa"/>
          </w:tblCellMar>
        </w:tblPrEx>
        <w:trPr>
          <w:cantSplit/>
        </w:trPr>
        <w:tc>
          <w:tcPr>
            <w:tcW w:w="2178" w:type="dxa"/>
            <w:shd w:val="pct12" w:color="auto" w:fill="FFFFFF"/>
          </w:tcPr>
          <w:p w:rsidR="00000000" w:rsidRDefault="00657A20">
            <w:pPr>
              <w:rPr>
                <w:b/>
              </w:rPr>
            </w:pPr>
            <w:r>
              <w:rPr>
                <w:b/>
              </w:rPr>
              <w:t>Uncertainty Sources</w:t>
            </w:r>
          </w:p>
        </w:tc>
        <w:tc>
          <w:tcPr>
            <w:tcW w:w="990" w:type="dxa"/>
            <w:shd w:val="pct12" w:color="auto" w:fill="FFFFFF"/>
          </w:tcPr>
          <w:p w:rsidR="00000000" w:rsidRDefault="00657A20">
            <w:r>
              <w:rPr>
                <w:b/>
              </w:rPr>
              <w:t>Source Symbol</w:t>
            </w:r>
          </w:p>
        </w:tc>
        <w:tc>
          <w:tcPr>
            <w:tcW w:w="4680" w:type="dxa"/>
            <w:shd w:val="pct12" w:color="auto" w:fill="FFFFFF"/>
          </w:tcPr>
          <w:p w:rsidR="00000000" w:rsidRDefault="00657A20">
            <w:pPr>
              <w:rPr>
                <w:b/>
              </w:rPr>
            </w:pPr>
            <w:r>
              <w:rPr>
                <w:b/>
              </w:rPr>
              <w:t>Analytical Sample</w:t>
            </w:r>
          </w:p>
        </w:tc>
        <w:tc>
          <w:tcPr>
            <w:tcW w:w="1710" w:type="dxa"/>
            <w:shd w:val="pct12" w:color="auto" w:fill="FFFFFF"/>
          </w:tcPr>
          <w:p w:rsidR="00000000" w:rsidRDefault="00657A20">
            <w:pPr>
              <w:rPr>
                <w:b/>
              </w:rPr>
            </w:pPr>
            <w:r>
              <w:rPr>
                <w:b/>
              </w:rPr>
              <w:t>Analytical Sample Symbol</w:t>
            </w:r>
          </w:p>
        </w:tc>
      </w:tr>
      <w:tr w:rsidR="00000000">
        <w:tblPrEx>
          <w:tblCellMar>
            <w:top w:w="0" w:type="dxa"/>
            <w:bottom w:w="0" w:type="dxa"/>
          </w:tblCellMar>
        </w:tblPrEx>
        <w:trPr>
          <w:cantSplit/>
        </w:trPr>
        <w:tc>
          <w:tcPr>
            <w:tcW w:w="2178" w:type="dxa"/>
          </w:tcPr>
          <w:p w:rsidR="00000000" w:rsidRDefault="00657A20">
            <w:pPr>
              <w:rPr>
                <w:b/>
              </w:rPr>
            </w:pPr>
            <w:r>
              <w:rPr>
                <w:b/>
              </w:rPr>
              <w:t>Intrinsic (Instrumental) Measurement Effects</w:t>
            </w:r>
          </w:p>
        </w:tc>
        <w:tc>
          <w:tcPr>
            <w:tcW w:w="990" w:type="dxa"/>
          </w:tcPr>
          <w:p w:rsidR="00000000" w:rsidRDefault="00657A20">
            <w:pPr>
              <w:rPr>
                <w:b/>
              </w:rPr>
            </w:pPr>
            <w:r>
              <w:rPr>
                <w:b/>
              </w:rPr>
              <w:t>IME</w:t>
            </w:r>
          </w:p>
        </w:tc>
        <w:tc>
          <w:tcPr>
            <w:tcW w:w="4680" w:type="dxa"/>
          </w:tcPr>
          <w:p w:rsidR="00000000" w:rsidRDefault="00657A20">
            <w:pPr>
              <w:rPr>
                <w:b/>
              </w:rPr>
            </w:pPr>
            <w:r>
              <w:rPr>
                <w:b/>
              </w:rPr>
              <w:t>Instr</w:t>
            </w:r>
            <w:r>
              <w:rPr>
                <w:b/>
              </w:rPr>
              <w:t xml:space="preserve">ument Calibration Standard </w:t>
            </w:r>
          </w:p>
        </w:tc>
        <w:tc>
          <w:tcPr>
            <w:tcW w:w="1710" w:type="dxa"/>
          </w:tcPr>
          <w:p w:rsidR="00000000" w:rsidRDefault="00657A20">
            <w:pPr>
              <w:rPr>
                <w:b/>
              </w:rPr>
            </w:pPr>
            <w:r>
              <w:rPr>
                <w:b/>
              </w:rPr>
              <w:t>ICS</w:t>
            </w:r>
          </w:p>
        </w:tc>
      </w:tr>
      <w:tr w:rsidR="00000000">
        <w:tblPrEx>
          <w:tblCellMar>
            <w:top w:w="0" w:type="dxa"/>
            <w:bottom w:w="0" w:type="dxa"/>
          </w:tblCellMar>
        </w:tblPrEx>
        <w:trPr>
          <w:cantSplit/>
        </w:trPr>
        <w:tc>
          <w:tcPr>
            <w:tcW w:w="2178" w:type="dxa"/>
          </w:tcPr>
          <w:p w:rsidR="00000000" w:rsidRDefault="00657A20">
            <w:pPr>
              <w:rPr>
                <w:b/>
              </w:rPr>
            </w:pPr>
            <w:r>
              <w:rPr>
                <w:b/>
              </w:rPr>
              <w:t>Spike Preparation Effects</w:t>
            </w:r>
          </w:p>
          <w:p w:rsidR="00000000" w:rsidRDefault="00657A20">
            <w:pPr>
              <w:rPr>
                <w:b/>
              </w:rPr>
            </w:pPr>
          </w:p>
        </w:tc>
        <w:tc>
          <w:tcPr>
            <w:tcW w:w="990" w:type="dxa"/>
          </w:tcPr>
          <w:p w:rsidR="00000000" w:rsidRDefault="00657A20">
            <w:pPr>
              <w:rPr>
                <w:b/>
              </w:rPr>
            </w:pPr>
            <w:r>
              <w:rPr>
                <w:b/>
              </w:rPr>
              <w:t>SPE</w:t>
            </w:r>
          </w:p>
        </w:tc>
        <w:tc>
          <w:tcPr>
            <w:tcW w:w="4680" w:type="dxa"/>
          </w:tcPr>
          <w:p w:rsidR="00000000" w:rsidRDefault="00657A20">
            <w:pPr>
              <w:rPr>
                <w:b/>
              </w:rPr>
            </w:pPr>
            <w:r>
              <w:rPr>
                <w:b/>
              </w:rPr>
              <w:t>Initial Calibration Verification Standard</w:t>
            </w:r>
          </w:p>
        </w:tc>
        <w:tc>
          <w:tcPr>
            <w:tcW w:w="1710" w:type="dxa"/>
          </w:tcPr>
          <w:p w:rsidR="00000000" w:rsidRDefault="00657A20">
            <w:pPr>
              <w:rPr>
                <w:b/>
              </w:rPr>
            </w:pPr>
            <w:r>
              <w:rPr>
                <w:b/>
              </w:rPr>
              <w:t>ICV</w:t>
            </w:r>
          </w:p>
        </w:tc>
      </w:tr>
      <w:tr w:rsidR="00000000">
        <w:tblPrEx>
          <w:tblCellMar>
            <w:top w:w="0" w:type="dxa"/>
            <w:bottom w:w="0" w:type="dxa"/>
          </w:tblCellMar>
        </w:tblPrEx>
        <w:trPr>
          <w:cantSplit/>
        </w:trPr>
        <w:tc>
          <w:tcPr>
            <w:tcW w:w="2178" w:type="dxa"/>
          </w:tcPr>
          <w:p w:rsidR="00000000" w:rsidRDefault="00657A20">
            <w:pPr>
              <w:rPr>
                <w:b/>
              </w:rPr>
            </w:pPr>
            <w:r>
              <w:rPr>
                <w:b/>
              </w:rPr>
              <w:t>Preparation Method</w:t>
            </w:r>
          </w:p>
          <w:p w:rsidR="00000000" w:rsidRDefault="00657A20">
            <w:pPr>
              <w:rPr>
                <w:b/>
              </w:rPr>
            </w:pPr>
            <w:r>
              <w:rPr>
                <w:b/>
              </w:rPr>
              <w:t>Effects</w:t>
            </w:r>
          </w:p>
          <w:p w:rsidR="00000000" w:rsidRDefault="00657A20">
            <w:pPr>
              <w:rPr>
                <w:b/>
              </w:rPr>
            </w:pPr>
          </w:p>
        </w:tc>
        <w:tc>
          <w:tcPr>
            <w:tcW w:w="990" w:type="dxa"/>
          </w:tcPr>
          <w:p w:rsidR="00000000" w:rsidRDefault="00657A20">
            <w:pPr>
              <w:rPr>
                <w:b/>
              </w:rPr>
            </w:pPr>
            <w:r>
              <w:rPr>
                <w:b/>
              </w:rPr>
              <w:t>PME</w:t>
            </w:r>
          </w:p>
        </w:tc>
        <w:tc>
          <w:tcPr>
            <w:tcW w:w="4680" w:type="dxa"/>
          </w:tcPr>
          <w:p w:rsidR="00000000" w:rsidRDefault="00657A20">
            <w:pPr>
              <w:rPr>
                <w:b/>
              </w:rPr>
            </w:pPr>
            <w:r>
              <w:rPr>
                <w:b/>
              </w:rPr>
              <w:t>Laboratory Control Sample</w:t>
            </w:r>
          </w:p>
        </w:tc>
        <w:tc>
          <w:tcPr>
            <w:tcW w:w="1710" w:type="dxa"/>
          </w:tcPr>
          <w:p w:rsidR="00000000" w:rsidRDefault="00657A20">
            <w:pPr>
              <w:rPr>
                <w:b/>
              </w:rPr>
            </w:pPr>
            <w:r>
              <w:rPr>
                <w:b/>
              </w:rPr>
              <w:t>LCS</w:t>
            </w:r>
          </w:p>
        </w:tc>
      </w:tr>
      <w:tr w:rsidR="00000000">
        <w:tblPrEx>
          <w:tblCellMar>
            <w:top w:w="0" w:type="dxa"/>
            <w:bottom w:w="0" w:type="dxa"/>
          </w:tblCellMar>
        </w:tblPrEx>
        <w:trPr>
          <w:cantSplit/>
        </w:trPr>
        <w:tc>
          <w:tcPr>
            <w:tcW w:w="2178" w:type="dxa"/>
          </w:tcPr>
          <w:p w:rsidR="00000000" w:rsidRDefault="00657A20">
            <w:pPr>
              <w:rPr>
                <w:b/>
              </w:rPr>
            </w:pPr>
            <w:r>
              <w:rPr>
                <w:b/>
              </w:rPr>
              <w:t>Matrix Interference Effects</w:t>
            </w:r>
          </w:p>
          <w:p w:rsidR="00000000" w:rsidRDefault="00657A20">
            <w:pPr>
              <w:rPr>
                <w:b/>
              </w:rPr>
            </w:pPr>
          </w:p>
        </w:tc>
        <w:tc>
          <w:tcPr>
            <w:tcW w:w="990" w:type="dxa"/>
          </w:tcPr>
          <w:p w:rsidR="00000000" w:rsidRDefault="00657A20">
            <w:pPr>
              <w:rPr>
                <w:b/>
              </w:rPr>
            </w:pPr>
            <w:r>
              <w:rPr>
                <w:b/>
              </w:rPr>
              <w:t>MIE</w:t>
            </w:r>
          </w:p>
        </w:tc>
        <w:tc>
          <w:tcPr>
            <w:tcW w:w="4680" w:type="dxa"/>
          </w:tcPr>
          <w:p w:rsidR="00000000" w:rsidRDefault="00657A20">
            <w:pPr>
              <w:rPr>
                <w:b/>
              </w:rPr>
            </w:pPr>
            <w:r>
              <w:rPr>
                <w:b/>
              </w:rPr>
              <w:t>Matrix Interference Sample</w:t>
            </w:r>
          </w:p>
          <w:p w:rsidR="00000000" w:rsidRDefault="00657A20">
            <w:pPr>
              <w:rPr>
                <w:b/>
              </w:rPr>
            </w:pPr>
            <w:r>
              <w:rPr>
                <w:b/>
              </w:rPr>
              <w:t>Matrix Spike/ Duplicat</w:t>
            </w:r>
            <w:r>
              <w:rPr>
                <w:b/>
              </w:rPr>
              <w:t>e Sample</w:t>
            </w:r>
          </w:p>
        </w:tc>
        <w:tc>
          <w:tcPr>
            <w:tcW w:w="1710" w:type="dxa"/>
          </w:tcPr>
          <w:p w:rsidR="00000000" w:rsidRDefault="00657A20">
            <w:pPr>
              <w:rPr>
                <w:b/>
              </w:rPr>
            </w:pPr>
            <w:r>
              <w:rPr>
                <w:b/>
              </w:rPr>
              <w:t>MIS</w:t>
            </w:r>
          </w:p>
          <w:p w:rsidR="00000000" w:rsidRDefault="00657A20">
            <w:pPr>
              <w:rPr>
                <w:b/>
              </w:rPr>
            </w:pPr>
            <w:r>
              <w:rPr>
                <w:b/>
              </w:rPr>
              <w:t>MS/MSD</w:t>
            </w:r>
          </w:p>
        </w:tc>
      </w:tr>
      <w:tr w:rsidR="00000000">
        <w:tblPrEx>
          <w:tblCellMar>
            <w:top w:w="0" w:type="dxa"/>
            <w:bottom w:w="0" w:type="dxa"/>
          </w:tblCellMar>
        </w:tblPrEx>
        <w:trPr>
          <w:cantSplit/>
        </w:trPr>
        <w:tc>
          <w:tcPr>
            <w:tcW w:w="2178" w:type="dxa"/>
          </w:tcPr>
          <w:p w:rsidR="00000000" w:rsidRDefault="00657A20">
            <w:pPr>
              <w:rPr>
                <w:b/>
              </w:rPr>
            </w:pPr>
            <w:r>
              <w:rPr>
                <w:b/>
              </w:rPr>
              <w:t>Sample Collection Effects</w:t>
            </w:r>
          </w:p>
        </w:tc>
        <w:tc>
          <w:tcPr>
            <w:tcW w:w="990" w:type="dxa"/>
          </w:tcPr>
          <w:p w:rsidR="00000000" w:rsidRDefault="00657A20">
            <w:pPr>
              <w:rPr>
                <w:b/>
              </w:rPr>
            </w:pPr>
            <w:r>
              <w:rPr>
                <w:b/>
              </w:rPr>
              <w:t>SCE</w:t>
            </w:r>
          </w:p>
        </w:tc>
        <w:tc>
          <w:tcPr>
            <w:tcW w:w="4680" w:type="dxa"/>
          </w:tcPr>
          <w:p w:rsidR="00000000" w:rsidRDefault="00657A20">
            <w:pPr>
              <w:rPr>
                <w:b/>
              </w:rPr>
            </w:pPr>
            <w:r>
              <w:rPr>
                <w:b/>
              </w:rPr>
              <w:t>Field Replicate (Duplicate) Sample</w:t>
            </w:r>
          </w:p>
          <w:p w:rsidR="00000000" w:rsidRDefault="00657A20">
            <w:pPr>
              <w:rPr>
                <w:b/>
              </w:rPr>
            </w:pPr>
            <w:r>
              <w:rPr>
                <w:b/>
              </w:rPr>
              <w:t>(Collected from same location and during same sampling event time)</w:t>
            </w:r>
          </w:p>
        </w:tc>
        <w:tc>
          <w:tcPr>
            <w:tcW w:w="1710" w:type="dxa"/>
          </w:tcPr>
          <w:p w:rsidR="00000000" w:rsidRDefault="00657A20">
            <w:pPr>
              <w:rPr>
                <w:b/>
              </w:rPr>
            </w:pPr>
            <w:r>
              <w:rPr>
                <w:b/>
              </w:rPr>
              <w:t>FSR</w:t>
            </w:r>
          </w:p>
        </w:tc>
      </w:tr>
      <w:tr w:rsidR="00000000">
        <w:tblPrEx>
          <w:tblCellMar>
            <w:top w:w="0" w:type="dxa"/>
            <w:bottom w:w="0" w:type="dxa"/>
          </w:tblCellMar>
        </w:tblPrEx>
        <w:trPr>
          <w:cantSplit/>
        </w:trPr>
        <w:tc>
          <w:tcPr>
            <w:tcW w:w="2178" w:type="dxa"/>
          </w:tcPr>
          <w:p w:rsidR="00000000" w:rsidRDefault="00657A20">
            <w:pPr>
              <w:rPr>
                <w:b/>
              </w:rPr>
            </w:pPr>
            <w:r>
              <w:rPr>
                <w:b/>
              </w:rPr>
              <w:t>Sample Location Effects</w:t>
            </w:r>
          </w:p>
          <w:p w:rsidR="00000000" w:rsidRDefault="00657A20">
            <w:pPr>
              <w:rPr>
                <w:b/>
              </w:rPr>
            </w:pPr>
          </w:p>
        </w:tc>
        <w:tc>
          <w:tcPr>
            <w:tcW w:w="990" w:type="dxa"/>
          </w:tcPr>
          <w:p w:rsidR="00000000" w:rsidRDefault="00657A20">
            <w:pPr>
              <w:rPr>
                <w:b/>
              </w:rPr>
            </w:pPr>
            <w:r>
              <w:rPr>
                <w:b/>
              </w:rPr>
              <w:t>SLE</w:t>
            </w:r>
          </w:p>
        </w:tc>
        <w:tc>
          <w:tcPr>
            <w:tcW w:w="4680" w:type="dxa"/>
          </w:tcPr>
          <w:p w:rsidR="00000000" w:rsidRDefault="00657A20">
            <w:pPr>
              <w:rPr>
                <w:b/>
              </w:rPr>
            </w:pPr>
            <w:r>
              <w:rPr>
                <w:b/>
              </w:rPr>
              <w:t>Co-Located (Same Location) Sample</w:t>
            </w:r>
          </w:p>
          <w:p w:rsidR="00000000" w:rsidRDefault="00657A20">
            <w:pPr>
              <w:rPr>
                <w:b/>
              </w:rPr>
            </w:pPr>
            <w:r>
              <w:rPr>
                <w:b/>
              </w:rPr>
              <w:t>(Collected 0.5 – 3 feet away from f</w:t>
            </w:r>
            <w:r>
              <w:rPr>
                <w:b/>
              </w:rPr>
              <w:t>ield sample)</w:t>
            </w:r>
          </w:p>
        </w:tc>
        <w:tc>
          <w:tcPr>
            <w:tcW w:w="1710" w:type="dxa"/>
          </w:tcPr>
          <w:p w:rsidR="00000000" w:rsidRDefault="00657A20">
            <w:pPr>
              <w:rPr>
                <w:b/>
              </w:rPr>
            </w:pPr>
            <w:r>
              <w:rPr>
                <w:b/>
              </w:rPr>
              <w:t>CLR</w:t>
            </w:r>
          </w:p>
        </w:tc>
      </w:tr>
      <w:tr w:rsidR="00000000">
        <w:tblPrEx>
          <w:tblCellMar>
            <w:top w:w="0" w:type="dxa"/>
            <w:bottom w:w="0" w:type="dxa"/>
          </w:tblCellMar>
        </w:tblPrEx>
        <w:trPr>
          <w:cantSplit/>
        </w:trPr>
        <w:tc>
          <w:tcPr>
            <w:tcW w:w="2178" w:type="dxa"/>
          </w:tcPr>
          <w:p w:rsidR="00000000" w:rsidRDefault="00657A20">
            <w:pPr>
              <w:rPr>
                <w:b/>
              </w:rPr>
            </w:pPr>
            <w:r>
              <w:rPr>
                <w:b/>
              </w:rPr>
              <w:t>Sampling Site Population Effects</w:t>
            </w:r>
          </w:p>
          <w:p w:rsidR="00000000" w:rsidRDefault="00657A20">
            <w:pPr>
              <w:rPr>
                <w:b/>
              </w:rPr>
            </w:pPr>
          </w:p>
        </w:tc>
        <w:tc>
          <w:tcPr>
            <w:tcW w:w="990" w:type="dxa"/>
          </w:tcPr>
          <w:p w:rsidR="00000000" w:rsidRDefault="00657A20">
            <w:pPr>
              <w:rPr>
                <w:b/>
              </w:rPr>
            </w:pPr>
            <w:r>
              <w:rPr>
                <w:b/>
              </w:rPr>
              <w:t>SSE</w:t>
            </w:r>
          </w:p>
        </w:tc>
        <w:tc>
          <w:tcPr>
            <w:tcW w:w="4680" w:type="dxa"/>
          </w:tcPr>
          <w:p w:rsidR="00000000" w:rsidRDefault="00657A20">
            <w:pPr>
              <w:rPr>
                <w:b/>
              </w:rPr>
            </w:pPr>
            <w:r>
              <w:rPr>
                <w:b/>
              </w:rPr>
              <w:t>Site field sample collected from the environmental site for the study</w:t>
            </w:r>
          </w:p>
        </w:tc>
        <w:tc>
          <w:tcPr>
            <w:tcW w:w="1710" w:type="dxa"/>
          </w:tcPr>
          <w:p w:rsidR="00000000" w:rsidRDefault="00657A20">
            <w:pPr>
              <w:rPr>
                <w:b/>
              </w:rPr>
            </w:pPr>
            <w:r>
              <w:rPr>
                <w:b/>
              </w:rPr>
              <w:t>SFS</w:t>
            </w:r>
          </w:p>
        </w:tc>
      </w:tr>
    </w:tbl>
    <w:p w:rsidR="00000000" w:rsidRDefault="00657A20">
      <w:pPr>
        <w:pStyle w:val="BodyText3"/>
        <w:widowControl/>
        <w:autoSpaceDE/>
        <w:autoSpaceDN/>
        <w:adjustRightInd/>
        <w:spacing w:line="360" w:lineRule="auto"/>
      </w:pPr>
      <w:r>
        <w:t>An example of general uncertainty budget components of sampling and testing that contribute the analytical measurement are pr</w:t>
      </w:r>
      <w:r>
        <w:t xml:space="preserve">esented in the follow table (Table B-2).  </w:t>
      </w:r>
    </w:p>
    <w:p w:rsidR="00000000" w:rsidRDefault="00657A20">
      <w:pPr>
        <w:pStyle w:val="BodyText"/>
        <w:jc w:val="center"/>
        <w:rPr>
          <w:b/>
          <w:u w:val="single"/>
        </w:rPr>
      </w:pPr>
      <w:r>
        <w:rPr>
          <w:b/>
          <w:u w:val="single"/>
        </w:rPr>
        <w:t>TABLE B-2: GENERAL UNCERTAINTY BUDGET</w:t>
      </w:r>
    </w:p>
    <w:p w:rsidR="00000000" w:rsidRDefault="00657A20">
      <w:pPr>
        <w:pStyle w:val="BodyText"/>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984"/>
        <w:gridCol w:w="1266"/>
        <w:gridCol w:w="2520"/>
        <w:gridCol w:w="1440"/>
        <w:gridCol w:w="1620"/>
      </w:tblGrid>
      <w:tr w:rsidR="00000000">
        <w:tblPrEx>
          <w:tblCellMar>
            <w:top w:w="0" w:type="dxa"/>
            <w:bottom w:w="0" w:type="dxa"/>
          </w:tblCellMar>
        </w:tblPrEx>
        <w:tc>
          <w:tcPr>
            <w:tcW w:w="1728" w:type="dxa"/>
            <w:shd w:val="pct12" w:color="auto" w:fill="FFFFFF"/>
          </w:tcPr>
          <w:p w:rsidR="00000000" w:rsidRDefault="00657A20">
            <w:pPr>
              <w:pStyle w:val="BodyText"/>
              <w:rPr>
                <w:b/>
                <w:sz w:val="20"/>
              </w:rPr>
            </w:pPr>
            <w:r>
              <w:rPr>
                <w:b/>
                <w:sz w:val="20"/>
              </w:rPr>
              <w:t>Component</w:t>
            </w:r>
          </w:p>
        </w:tc>
        <w:tc>
          <w:tcPr>
            <w:tcW w:w="984" w:type="dxa"/>
            <w:shd w:val="pct12" w:color="auto" w:fill="FFFFFF"/>
          </w:tcPr>
          <w:p w:rsidR="00000000" w:rsidRDefault="00657A20">
            <w:pPr>
              <w:pStyle w:val="BodyText"/>
              <w:rPr>
                <w:b/>
                <w:sz w:val="20"/>
              </w:rPr>
            </w:pPr>
            <w:r>
              <w:rPr>
                <w:b/>
                <w:sz w:val="20"/>
              </w:rPr>
              <w:t>Symbol</w:t>
            </w:r>
          </w:p>
        </w:tc>
        <w:tc>
          <w:tcPr>
            <w:tcW w:w="1266" w:type="dxa"/>
            <w:shd w:val="pct12" w:color="auto" w:fill="FFFFFF"/>
          </w:tcPr>
          <w:p w:rsidR="00000000" w:rsidRDefault="00657A20">
            <w:pPr>
              <w:pStyle w:val="BodyText"/>
              <w:rPr>
                <w:b/>
                <w:sz w:val="20"/>
              </w:rPr>
            </w:pPr>
            <w:r>
              <w:rPr>
                <w:b/>
                <w:sz w:val="20"/>
              </w:rPr>
              <w:t>Relative Standard Uncertainty</w:t>
            </w:r>
          </w:p>
        </w:tc>
        <w:tc>
          <w:tcPr>
            <w:tcW w:w="2520" w:type="dxa"/>
            <w:shd w:val="pct12" w:color="auto" w:fill="FFFFFF"/>
          </w:tcPr>
          <w:p w:rsidR="00000000" w:rsidRDefault="00657A20">
            <w:pPr>
              <w:pStyle w:val="BodyText"/>
              <w:rPr>
                <w:b/>
                <w:sz w:val="20"/>
              </w:rPr>
            </w:pPr>
            <w:r>
              <w:rPr>
                <w:b/>
                <w:sz w:val="20"/>
              </w:rPr>
              <w:t>Probability Distribution</w:t>
            </w:r>
          </w:p>
        </w:tc>
        <w:tc>
          <w:tcPr>
            <w:tcW w:w="1440" w:type="dxa"/>
            <w:shd w:val="pct12" w:color="auto" w:fill="FFFFFF"/>
          </w:tcPr>
          <w:p w:rsidR="00000000" w:rsidRDefault="00657A20">
            <w:pPr>
              <w:pStyle w:val="BodyText"/>
              <w:rPr>
                <w:b/>
                <w:sz w:val="20"/>
              </w:rPr>
            </w:pPr>
            <w:r>
              <w:rPr>
                <w:b/>
                <w:sz w:val="20"/>
              </w:rPr>
              <w:t>Sensitivity Coefficient</w:t>
            </w:r>
          </w:p>
        </w:tc>
        <w:tc>
          <w:tcPr>
            <w:tcW w:w="1620" w:type="dxa"/>
            <w:shd w:val="pct12" w:color="auto" w:fill="FFFFFF"/>
          </w:tcPr>
          <w:p w:rsidR="00000000" w:rsidRDefault="00657A20">
            <w:pPr>
              <w:pStyle w:val="BodyText"/>
              <w:rPr>
                <w:b/>
                <w:sz w:val="20"/>
              </w:rPr>
            </w:pPr>
            <w:r>
              <w:rPr>
                <w:b/>
                <w:sz w:val="20"/>
              </w:rPr>
              <w:t>Relative Uncertainty Contribution</w:t>
            </w:r>
          </w:p>
        </w:tc>
      </w:tr>
      <w:tr w:rsidR="00000000">
        <w:tblPrEx>
          <w:tblCellMar>
            <w:top w:w="0" w:type="dxa"/>
            <w:bottom w:w="0" w:type="dxa"/>
          </w:tblCellMar>
        </w:tblPrEx>
        <w:tc>
          <w:tcPr>
            <w:tcW w:w="1728" w:type="dxa"/>
          </w:tcPr>
          <w:p w:rsidR="00000000" w:rsidRDefault="00657A20">
            <w:pPr>
              <w:pStyle w:val="BodyText"/>
              <w:rPr>
                <w:b/>
                <w:sz w:val="16"/>
              </w:rPr>
            </w:pPr>
            <w:r>
              <w:rPr>
                <w:b/>
                <w:sz w:val="16"/>
              </w:rPr>
              <w:t>Intrinsic</w:t>
            </w:r>
          </w:p>
          <w:p w:rsidR="00000000" w:rsidRDefault="00657A20">
            <w:pPr>
              <w:pStyle w:val="BodyText"/>
              <w:rPr>
                <w:b/>
                <w:sz w:val="16"/>
              </w:rPr>
            </w:pPr>
            <w:r>
              <w:rPr>
                <w:b/>
                <w:sz w:val="16"/>
              </w:rPr>
              <w:t xml:space="preserve">Instrumental Measurement </w:t>
            </w:r>
          </w:p>
          <w:p w:rsidR="00000000" w:rsidRDefault="00657A20">
            <w:pPr>
              <w:pStyle w:val="BodyText"/>
              <w:rPr>
                <w:b/>
                <w:sz w:val="16"/>
              </w:rPr>
            </w:pPr>
            <w:r>
              <w:rPr>
                <w:b/>
                <w:sz w:val="16"/>
              </w:rPr>
              <w:t>Effects</w:t>
            </w:r>
            <w:r>
              <w:rPr>
                <w:b/>
                <w:sz w:val="16"/>
              </w:rPr>
              <w:t xml:space="preserve"> </w:t>
            </w:r>
          </w:p>
        </w:tc>
        <w:tc>
          <w:tcPr>
            <w:tcW w:w="984" w:type="dxa"/>
          </w:tcPr>
          <w:p w:rsidR="00000000" w:rsidRDefault="00657A20">
            <w:pPr>
              <w:pStyle w:val="BodyText"/>
              <w:jc w:val="center"/>
              <w:rPr>
                <w:b/>
              </w:rPr>
            </w:pPr>
            <w:r>
              <w:rPr>
                <w:b/>
              </w:rPr>
              <w:t>IME</w:t>
            </w:r>
          </w:p>
        </w:tc>
        <w:tc>
          <w:tcPr>
            <w:tcW w:w="1266" w:type="dxa"/>
          </w:tcPr>
          <w:p w:rsidR="00000000" w:rsidRDefault="00657A20">
            <w:pPr>
              <w:pStyle w:val="BodyText"/>
              <w:jc w:val="center"/>
              <w:rPr>
                <w:b/>
              </w:rPr>
            </w:pPr>
            <w:r>
              <w:rPr>
                <w:b/>
              </w:rPr>
              <w:t>2%</w:t>
            </w:r>
          </w:p>
        </w:tc>
        <w:tc>
          <w:tcPr>
            <w:tcW w:w="2520" w:type="dxa"/>
          </w:tcPr>
          <w:p w:rsidR="00000000" w:rsidRDefault="00657A20">
            <w:pPr>
              <w:pStyle w:val="BodyText"/>
              <w:jc w:val="center"/>
              <w:rPr>
                <w:b/>
              </w:rPr>
            </w:pPr>
            <w:r>
              <w:rPr>
                <w:b/>
              </w:rPr>
              <w:t>Normal</w:t>
            </w:r>
          </w:p>
        </w:tc>
        <w:tc>
          <w:tcPr>
            <w:tcW w:w="1440" w:type="dxa"/>
          </w:tcPr>
          <w:p w:rsidR="00000000" w:rsidRDefault="00657A20">
            <w:pPr>
              <w:pStyle w:val="BodyText"/>
              <w:jc w:val="center"/>
              <w:rPr>
                <w:b/>
              </w:rPr>
            </w:pPr>
            <w:r>
              <w:rPr>
                <w:b/>
              </w:rPr>
              <w:t>1</w:t>
            </w:r>
          </w:p>
        </w:tc>
        <w:tc>
          <w:tcPr>
            <w:tcW w:w="1620" w:type="dxa"/>
          </w:tcPr>
          <w:p w:rsidR="00000000" w:rsidRDefault="00657A20">
            <w:pPr>
              <w:pStyle w:val="BodyText"/>
              <w:jc w:val="center"/>
              <w:rPr>
                <w:b/>
              </w:rPr>
            </w:pPr>
            <w:r>
              <w:rPr>
                <w:b/>
              </w:rPr>
              <w:t>1</w:t>
            </w:r>
          </w:p>
        </w:tc>
      </w:tr>
      <w:tr w:rsidR="00000000">
        <w:tblPrEx>
          <w:tblCellMar>
            <w:top w:w="0" w:type="dxa"/>
            <w:bottom w:w="0" w:type="dxa"/>
          </w:tblCellMar>
        </w:tblPrEx>
        <w:tc>
          <w:tcPr>
            <w:tcW w:w="1728" w:type="dxa"/>
          </w:tcPr>
          <w:p w:rsidR="00000000" w:rsidRDefault="00657A20">
            <w:pPr>
              <w:pStyle w:val="BodyText"/>
              <w:rPr>
                <w:b/>
                <w:sz w:val="16"/>
              </w:rPr>
            </w:pPr>
            <w:r>
              <w:rPr>
                <w:b/>
                <w:sz w:val="16"/>
              </w:rPr>
              <w:t xml:space="preserve">Laboratory Preparation Method </w:t>
            </w:r>
          </w:p>
          <w:p w:rsidR="00000000" w:rsidRDefault="00657A20">
            <w:pPr>
              <w:pStyle w:val="BodyText"/>
              <w:rPr>
                <w:b/>
                <w:sz w:val="16"/>
              </w:rPr>
            </w:pPr>
            <w:r>
              <w:rPr>
                <w:b/>
                <w:sz w:val="16"/>
              </w:rPr>
              <w:t xml:space="preserve">Effects </w:t>
            </w:r>
          </w:p>
        </w:tc>
        <w:tc>
          <w:tcPr>
            <w:tcW w:w="984" w:type="dxa"/>
          </w:tcPr>
          <w:p w:rsidR="00000000" w:rsidRDefault="00657A20">
            <w:pPr>
              <w:pStyle w:val="BodyText"/>
              <w:jc w:val="center"/>
              <w:rPr>
                <w:b/>
              </w:rPr>
            </w:pPr>
            <w:r>
              <w:rPr>
                <w:b/>
              </w:rPr>
              <w:t>PME</w:t>
            </w:r>
          </w:p>
        </w:tc>
        <w:tc>
          <w:tcPr>
            <w:tcW w:w="1266" w:type="dxa"/>
          </w:tcPr>
          <w:p w:rsidR="00000000" w:rsidRDefault="00657A20">
            <w:pPr>
              <w:pStyle w:val="BodyText"/>
              <w:jc w:val="center"/>
              <w:rPr>
                <w:b/>
              </w:rPr>
            </w:pPr>
            <w:r>
              <w:rPr>
                <w:b/>
              </w:rPr>
              <w:t>4%</w:t>
            </w:r>
          </w:p>
        </w:tc>
        <w:tc>
          <w:tcPr>
            <w:tcW w:w="2520" w:type="dxa"/>
          </w:tcPr>
          <w:p w:rsidR="00000000" w:rsidRDefault="00657A20">
            <w:pPr>
              <w:pStyle w:val="BodyText"/>
              <w:jc w:val="center"/>
              <w:rPr>
                <w:b/>
              </w:rPr>
            </w:pPr>
            <w:r>
              <w:rPr>
                <w:b/>
              </w:rPr>
              <w:t>Normal</w:t>
            </w:r>
          </w:p>
        </w:tc>
        <w:tc>
          <w:tcPr>
            <w:tcW w:w="1440" w:type="dxa"/>
          </w:tcPr>
          <w:p w:rsidR="00000000" w:rsidRDefault="00657A20">
            <w:pPr>
              <w:pStyle w:val="BodyText"/>
              <w:jc w:val="center"/>
              <w:rPr>
                <w:b/>
              </w:rPr>
            </w:pPr>
            <w:r>
              <w:rPr>
                <w:b/>
              </w:rPr>
              <w:t>1</w:t>
            </w:r>
          </w:p>
        </w:tc>
        <w:tc>
          <w:tcPr>
            <w:tcW w:w="1620" w:type="dxa"/>
          </w:tcPr>
          <w:p w:rsidR="00000000" w:rsidRDefault="00657A20">
            <w:pPr>
              <w:pStyle w:val="BodyText"/>
              <w:jc w:val="center"/>
              <w:rPr>
                <w:b/>
              </w:rPr>
            </w:pPr>
            <w:r>
              <w:rPr>
                <w:b/>
              </w:rPr>
              <w:t>2</w:t>
            </w:r>
          </w:p>
        </w:tc>
      </w:tr>
      <w:tr w:rsidR="00000000">
        <w:tblPrEx>
          <w:tblCellMar>
            <w:top w:w="0" w:type="dxa"/>
            <w:bottom w:w="0" w:type="dxa"/>
          </w:tblCellMar>
        </w:tblPrEx>
        <w:tc>
          <w:tcPr>
            <w:tcW w:w="1728" w:type="dxa"/>
          </w:tcPr>
          <w:p w:rsidR="00000000" w:rsidRDefault="00657A20">
            <w:pPr>
              <w:pStyle w:val="BodyText"/>
              <w:rPr>
                <w:b/>
                <w:sz w:val="16"/>
              </w:rPr>
            </w:pPr>
            <w:r>
              <w:rPr>
                <w:b/>
                <w:sz w:val="16"/>
              </w:rPr>
              <w:t>Sample Matrix Interference Effects</w:t>
            </w:r>
          </w:p>
          <w:p w:rsidR="00000000" w:rsidRDefault="00657A20">
            <w:pPr>
              <w:pStyle w:val="BodyText"/>
              <w:rPr>
                <w:b/>
                <w:sz w:val="16"/>
              </w:rPr>
            </w:pPr>
          </w:p>
        </w:tc>
        <w:tc>
          <w:tcPr>
            <w:tcW w:w="984" w:type="dxa"/>
          </w:tcPr>
          <w:p w:rsidR="00000000" w:rsidRDefault="00657A20">
            <w:pPr>
              <w:pStyle w:val="BodyText"/>
              <w:jc w:val="center"/>
              <w:rPr>
                <w:b/>
              </w:rPr>
            </w:pPr>
            <w:r>
              <w:rPr>
                <w:b/>
              </w:rPr>
              <w:t>MIE</w:t>
            </w:r>
          </w:p>
        </w:tc>
        <w:tc>
          <w:tcPr>
            <w:tcW w:w="1266" w:type="dxa"/>
          </w:tcPr>
          <w:p w:rsidR="00000000" w:rsidRDefault="00657A20">
            <w:pPr>
              <w:pStyle w:val="BodyText"/>
              <w:jc w:val="center"/>
              <w:rPr>
                <w:b/>
              </w:rPr>
            </w:pPr>
            <w:r>
              <w:rPr>
                <w:b/>
              </w:rPr>
              <w:t>6%</w:t>
            </w:r>
          </w:p>
        </w:tc>
        <w:tc>
          <w:tcPr>
            <w:tcW w:w="2520" w:type="dxa"/>
          </w:tcPr>
          <w:p w:rsidR="00000000" w:rsidRDefault="00657A20">
            <w:pPr>
              <w:pStyle w:val="BodyText"/>
              <w:jc w:val="center"/>
              <w:rPr>
                <w:b/>
              </w:rPr>
            </w:pPr>
            <w:r>
              <w:rPr>
                <w:b/>
              </w:rPr>
              <w:t>Normal or Lognormal</w:t>
            </w:r>
          </w:p>
        </w:tc>
        <w:tc>
          <w:tcPr>
            <w:tcW w:w="1440" w:type="dxa"/>
          </w:tcPr>
          <w:p w:rsidR="00000000" w:rsidRDefault="00657A20">
            <w:pPr>
              <w:pStyle w:val="BodyText"/>
              <w:jc w:val="center"/>
              <w:rPr>
                <w:b/>
              </w:rPr>
            </w:pPr>
            <w:r>
              <w:rPr>
                <w:b/>
              </w:rPr>
              <w:t>1</w:t>
            </w:r>
          </w:p>
        </w:tc>
        <w:tc>
          <w:tcPr>
            <w:tcW w:w="1620" w:type="dxa"/>
          </w:tcPr>
          <w:p w:rsidR="00000000" w:rsidRDefault="00657A20">
            <w:pPr>
              <w:pStyle w:val="BodyText"/>
              <w:jc w:val="center"/>
              <w:rPr>
                <w:b/>
              </w:rPr>
            </w:pPr>
            <w:r>
              <w:rPr>
                <w:b/>
              </w:rPr>
              <w:t>3</w:t>
            </w:r>
          </w:p>
        </w:tc>
      </w:tr>
      <w:tr w:rsidR="00000000">
        <w:tblPrEx>
          <w:tblCellMar>
            <w:top w:w="0" w:type="dxa"/>
            <w:bottom w:w="0" w:type="dxa"/>
          </w:tblCellMar>
        </w:tblPrEx>
        <w:tc>
          <w:tcPr>
            <w:tcW w:w="1728" w:type="dxa"/>
          </w:tcPr>
          <w:p w:rsidR="00000000" w:rsidRDefault="00657A20">
            <w:pPr>
              <w:pStyle w:val="BodyText"/>
              <w:rPr>
                <w:b/>
                <w:sz w:val="16"/>
              </w:rPr>
            </w:pPr>
            <w:r>
              <w:rPr>
                <w:b/>
                <w:sz w:val="16"/>
              </w:rPr>
              <w:t>Sample Collection and Subsampling Effects</w:t>
            </w:r>
          </w:p>
        </w:tc>
        <w:tc>
          <w:tcPr>
            <w:tcW w:w="984" w:type="dxa"/>
          </w:tcPr>
          <w:p w:rsidR="00000000" w:rsidRDefault="00657A20">
            <w:pPr>
              <w:pStyle w:val="BodyText"/>
              <w:jc w:val="center"/>
              <w:rPr>
                <w:b/>
              </w:rPr>
            </w:pPr>
            <w:r>
              <w:rPr>
                <w:b/>
              </w:rPr>
              <w:t>SCE</w:t>
            </w:r>
          </w:p>
        </w:tc>
        <w:tc>
          <w:tcPr>
            <w:tcW w:w="1266" w:type="dxa"/>
          </w:tcPr>
          <w:p w:rsidR="00000000" w:rsidRDefault="00657A20">
            <w:pPr>
              <w:pStyle w:val="BodyText"/>
              <w:jc w:val="center"/>
              <w:rPr>
                <w:b/>
              </w:rPr>
            </w:pPr>
            <w:r>
              <w:rPr>
                <w:b/>
              </w:rPr>
              <w:t>8%</w:t>
            </w:r>
          </w:p>
        </w:tc>
        <w:tc>
          <w:tcPr>
            <w:tcW w:w="2520" w:type="dxa"/>
          </w:tcPr>
          <w:p w:rsidR="00000000" w:rsidRDefault="00657A20">
            <w:pPr>
              <w:pStyle w:val="BodyText"/>
              <w:jc w:val="center"/>
              <w:rPr>
                <w:b/>
              </w:rPr>
            </w:pPr>
            <w:r>
              <w:rPr>
                <w:b/>
              </w:rPr>
              <w:t>Normal or Lognormal</w:t>
            </w:r>
          </w:p>
        </w:tc>
        <w:tc>
          <w:tcPr>
            <w:tcW w:w="1440" w:type="dxa"/>
          </w:tcPr>
          <w:p w:rsidR="00000000" w:rsidRDefault="00657A20">
            <w:pPr>
              <w:pStyle w:val="BodyText"/>
              <w:jc w:val="center"/>
              <w:rPr>
                <w:b/>
              </w:rPr>
            </w:pPr>
            <w:r>
              <w:rPr>
                <w:b/>
              </w:rPr>
              <w:t>1</w:t>
            </w:r>
          </w:p>
        </w:tc>
        <w:tc>
          <w:tcPr>
            <w:tcW w:w="1620" w:type="dxa"/>
          </w:tcPr>
          <w:p w:rsidR="00000000" w:rsidRDefault="00657A20">
            <w:pPr>
              <w:pStyle w:val="BodyText"/>
              <w:jc w:val="center"/>
              <w:rPr>
                <w:b/>
              </w:rPr>
            </w:pPr>
            <w:r>
              <w:rPr>
                <w:b/>
              </w:rPr>
              <w:t>4</w:t>
            </w:r>
          </w:p>
        </w:tc>
      </w:tr>
      <w:tr w:rsidR="00000000">
        <w:tblPrEx>
          <w:tblCellMar>
            <w:top w:w="0" w:type="dxa"/>
            <w:bottom w:w="0" w:type="dxa"/>
          </w:tblCellMar>
        </w:tblPrEx>
        <w:tc>
          <w:tcPr>
            <w:tcW w:w="1728" w:type="dxa"/>
          </w:tcPr>
          <w:p w:rsidR="00000000" w:rsidRDefault="00657A20">
            <w:pPr>
              <w:pStyle w:val="BodyText"/>
              <w:rPr>
                <w:b/>
                <w:sz w:val="16"/>
              </w:rPr>
            </w:pPr>
            <w:r>
              <w:rPr>
                <w:b/>
                <w:sz w:val="16"/>
              </w:rPr>
              <w:t xml:space="preserve">Sampling Strategy </w:t>
            </w:r>
          </w:p>
          <w:p w:rsidR="00000000" w:rsidRDefault="00657A20">
            <w:pPr>
              <w:pStyle w:val="BodyText"/>
              <w:rPr>
                <w:b/>
                <w:sz w:val="16"/>
              </w:rPr>
            </w:pPr>
            <w:r>
              <w:rPr>
                <w:b/>
                <w:sz w:val="16"/>
              </w:rPr>
              <w:t>Effects</w:t>
            </w:r>
          </w:p>
          <w:p w:rsidR="00000000" w:rsidRDefault="00657A20">
            <w:pPr>
              <w:pStyle w:val="BodyText"/>
              <w:rPr>
                <w:b/>
                <w:sz w:val="16"/>
              </w:rPr>
            </w:pPr>
          </w:p>
        </w:tc>
        <w:tc>
          <w:tcPr>
            <w:tcW w:w="984" w:type="dxa"/>
          </w:tcPr>
          <w:p w:rsidR="00000000" w:rsidRDefault="00657A20">
            <w:pPr>
              <w:pStyle w:val="BodyText"/>
              <w:jc w:val="center"/>
              <w:rPr>
                <w:b/>
              </w:rPr>
            </w:pPr>
            <w:r>
              <w:rPr>
                <w:b/>
              </w:rPr>
              <w:t>SSE</w:t>
            </w:r>
          </w:p>
        </w:tc>
        <w:tc>
          <w:tcPr>
            <w:tcW w:w="1266" w:type="dxa"/>
          </w:tcPr>
          <w:p w:rsidR="00000000" w:rsidRDefault="00657A20">
            <w:pPr>
              <w:pStyle w:val="BodyText"/>
              <w:jc w:val="center"/>
              <w:rPr>
                <w:b/>
              </w:rPr>
            </w:pPr>
            <w:r>
              <w:rPr>
                <w:b/>
              </w:rPr>
              <w:t>9%</w:t>
            </w:r>
          </w:p>
        </w:tc>
        <w:tc>
          <w:tcPr>
            <w:tcW w:w="2520" w:type="dxa"/>
          </w:tcPr>
          <w:p w:rsidR="00000000" w:rsidRDefault="00657A20">
            <w:pPr>
              <w:pStyle w:val="BodyText"/>
              <w:jc w:val="center"/>
              <w:rPr>
                <w:b/>
              </w:rPr>
            </w:pPr>
            <w:r>
              <w:rPr>
                <w:b/>
              </w:rPr>
              <w:t>Normal or Lognormal</w:t>
            </w:r>
          </w:p>
        </w:tc>
        <w:tc>
          <w:tcPr>
            <w:tcW w:w="1440" w:type="dxa"/>
          </w:tcPr>
          <w:p w:rsidR="00000000" w:rsidRDefault="00657A20">
            <w:pPr>
              <w:pStyle w:val="BodyText"/>
              <w:jc w:val="center"/>
              <w:rPr>
                <w:b/>
              </w:rPr>
            </w:pPr>
            <w:r>
              <w:rPr>
                <w:b/>
              </w:rPr>
              <w:t>1</w:t>
            </w:r>
          </w:p>
        </w:tc>
        <w:tc>
          <w:tcPr>
            <w:tcW w:w="1620" w:type="dxa"/>
          </w:tcPr>
          <w:p w:rsidR="00000000" w:rsidRDefault="00657A20">
            <w:pPr>
              <w:pStyle w:val="BodyText"/>
              <w:jc w:val="center"/>
              <w:rPr>
                <w:b/>
              </w:rPr>
            </w:pPr>
            <w:r>
              <w:rPr>
                <w:b/>
              </w:rPr>
              <w:t>4.5</w:t>
            </w:r>
          </w:p>
        </w:tc>
      </w:tr>
      <w:tr w:rsidR="00000000">
        <w:tblPrEx>
          <w:tblCellMar>
            <w:top w:w="0" w:type="dxa"/>
            <w:bottom w:w="0" w:type="dxa"/>
          </w:tblCellMar>
        </w:tblPrEx>
        <w:tc>
          <w:tcPr>
            <w:tcW w:w="1728" w:type="dxa"/>
          </w:tcPr>
          <w:p w:rsidR="00000000" w:rsidRDefault="00657A20">
            <w:pPr>
              <w:pStyle w:val="BodyText"/>
              <w:rPr>
                <w:b/>
                <w:sz w:val="16"/>
              </w:rPr>
            </w:pPr>
            <w:r>
              <w:rPr>
                <w:b/>
                <w:sz w:val="16"/>
              </w:rPr>
              <w:t>Sampling Site Media Contamination Effects</w:t>
            </w:r>
          </w:p>
        </w:tc>
        <w:tc>
          <w:tcPr>
            <w:tcW w:w="984" w:type="dxa"/>
          </w:tcPr>
          <w:p w:rsidR="00000000" w:rsidRDefault="00657A20">
            <w:pPr>
              <w:pStyle w:val="BodyText"/>
              <w:jc w:val="center"/>
              <w:rPr>
                <w:b/>
              </w:rPr>
            </w:pPr>
            <w:r>
              <w:rPr>
                <w:b/>
              </w:rPr>
              <w:t>SME</w:t>
            </w:r>
          </w:p>
        </w:tc>
        <w:tc>
          <w:tcPr>
            <w:tcW w:w="1266" w:type="dxa"/>
          </w:tcPr>
          <w:p w:rsidR="00000000" w:rsidRDefault="00657A20">
            <w:pPr>
              <w:pStyle w:val="BodyText"/>
              <w:jc w:val="center"/>
              <w:rPr>
                <w:b/>
              </w:rPr>
            </w:pPr>
            <w:r>
              <w:rPr>
                <w:b/>
              </w:rPr>
              <w:t>14%</w:t>
            </w:r>
          </w:p>
        </w:tc>
        <w:tc>
          <w:tcPr>
            <w:tcW w:w="2520" w:type="dxa"/>
          </w:tcPr>
          <w:p w:rsidR="00000000" w:rsidRDefault="00657A20">
            <w:pPr>
              <w:pStyle w:val="BodyText"/>
              <w:jc w:val="center"/>
              <w:rPr>
                <w:b/>
              </w:rPr>
            </w:pPr>
            <w:r>
              <w:rPr>
                <w:b/>
              </w:rPr>
              <w:t xml:space="preserve">Normal or Lognormal </w:t>
            </w:r>
          </w:p>
        </w:tc>
        <w:tc>
          <w:tcPr>
            <w:tcW w:w="1440" w:type="dxa"/>
          </w:tcPr>
          <w:p w:rsidR="00000000" w:rsidRDefault="00657A20">
            <w:pPr>
              <w:pStyle w:val="BodyText"/>
              <w:jc w:val="center"/>
              <w:rPr>
                <w:b/>
              </w:rPr>
            </w:pPr>
            <w:r>
              <w:rPr>
                <w:b/>
              </w:rPr>
              <w:t>1</w:t>
            </w:r>
          </w:p>
        </w:tc>
        <w:tc>
          <w:tcPr>
            <w:tcW w:w="1620" w:type="dxa"/>
          </w:tcPr>
          <w:p w:rsidR="00000000" w:rsidRDefault="00657A20">
            <w:pPr>
              <w:pStyle w:val="BodyText"/>
              <w:jc w:val="center"/>
              <w:rPr>
                <w:b/>
              </w:rPr>
            </w:pPr>
            <w:r>
              <w:rPr>
                <w:b/>
              </w:rPr>
              <w:t>7</w:t>
            </w:r>
          </w:p>
        </w:tc>
      </w:tr>
    </w:tbl>
    <w:p w:rsidR="00000000" w:rsidRDefault="00657A20">
      <w:pPr>
        <w:spacing w:line="360" w:lineRule="auto"/>
        <w:ind w:left="1080" w:hanging="540"/>
        <w:rPr>
          <w:b/>
          <w:bCs/>
          <w:sz w:val="24"/>
        </w:rPr>
      </w:pPr>
      <w:r>
        <w:rPr>
          <w:b/>
          <w:bCs/>
          <w:sz w:val="24"/>
        </w:rPr>
        <w:lastRenderedPageBreak/>
        <w:t>APPENDIX C: EXAMPLE UNCERTAINTY BUDGET FOR METHOD 3050B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2970"/>
        <w:gridCol w:w="1350"/>
        <w:gridCol w:w="1530"/>
      </w:tblGrid>
      <w:tr w:rsidR="00000000">
        <w:tblPrEx>
          <w:tblCellMar>
            <w:top w:w="0" w:type="dxa"/>
            <w:bottom w:w="0" w:type="dxa"/>
          </w:tblCellMar>
        </w:tblPrEx>
        <w:tc>
          <w:tcPr>
            <w:tcW w:w="3708" w:type="dxa"/>
            <w:shd w:val="pct12" w:color="auto" w:fill="FFFFFF"/>
          </w:tcPr>
          <w:p w:rsidR="00000000" w:rsidRDefault="00657A20">
            <w:pPr>
              <w:rPr>
                <w:b/>
                <w:sz w:val="24"/>
              </w:rPr>
            </w:pPr>
            <w:r>
              <w:rPr>
                <w:b/>
                <w:sz w:val="24"/>
              </w:rPr>
              <w:t>Uncertainty Source</w:t>
            </w:r>
          </w:p>
          <w:p w:rsidR="00000000" w:rsidRDefault="00657A20">
            <w:pPr>
              <w:rPr>
                <w:b/>
                <w:sz w:val="24"/>
              </w:rPr>
            </w:pPr>
          </w:p>
        </w:tc>
        <w:tc>
          <w:tcPr>
            <w:tcW w:w="2970" w:type="dxa"/>
            <w:shd w:val="pct12" w:color="auto" w:fill="FFFFFF"/>
          </w:tcPr>
          <w:p w:rsidR="00000000" w:rsidRDefault="00657A20">
            <w:pPr>
              <w:rPr>
                <w:b/>
                <w:sz w:val="24"/>
              </w:rPr>
            </w:pPr>
            <w:r>
              <w:rPr>
                <w:b/>
                <w:sz w:val="24"/>
              </w:rPr>
              <w:t>Uncertainty Interval (99.7% CL)</w:t>
            </w:r>
          </w:p>
        </w:tc>
        <w:tc>
          <w:tcPr>
            <w:tcW w:w="1350" w:type="dxa"/>
            <w:shd w:val="pct12" w:color="auto" w:fill="FFFFFF"/>
          </w:tcPr>
          <w:p w:rsidR="00000000" w:rsidRDefault="00657A20">
            <w:pPr>
              <w:rPr>
                <w:b/>
                <w:sz w:val="24"/>
              </w:rPr>
            </w:pPr>
            <w:r>
              <w:rPr>
                <w:b/>
                <w:sz w:val="24"/>
              </w:rPr>
              <w:t>Evaluation Type</w:t>
            </w:r>
          </w:p>
        </w:tc>
        <w:tc>
          <w:tcPr>
            <w:tcW w:w="1530" w:type="dxa"/>
            <w:shd w:val="pct12" w:color="auto" w:fill="FFFFFF"/>
          </w:tcPr>
          <w:p w:rsidR="00000000" w:rsidRDefault="00657A20">
            <w:pPr>
              <w:rPr>
                <w:b/>
                <w:sz w:val="24"/>
              </w:rPr>
            </w:pPr>
            <w:r>
              <w:rPr>
                <w:b/>
                <w:sz w:val="24"/>
              </w:rPr>
              <w:t>Distribution</w:t>
            </w:r>
          </w:p>
        </w:tc>
      </w:tr>
      <w:tr w:rsidR="00000000">
        <w:tblPrEx>
          <w:tblCellMar>
            <w:top w:w="0" w:type="dxa"/>
            <w:bottom w:w="0" w:type="dxa"/>
          </w:tblCellMar>
        </w:tblPrEx>
        <w:tc>
          <w:tcPr>
            <w:tcW w:w="3708" w:type="dxa"/>
          </w:tcPr>
          <w:p w:rsidR="00000000" w:rsidRDefault="00657A20">
            <w:pPr>
              <w:rPr>
                <w:b/>
              </w:rPr>
            </w:pPr>
            <w:r>
              <w:rPr>
                <w:b/>
              </w:rPr>
              <w:t xml:space="preserve">Weighing-Boat </w:t>
            </w:r>
            <w:r>
              <w:rPr>
                <w:b/>
              </w:rPr>
              <w:t xml:space="preserve">Weight </w:t>
            </w:r>
          </w:p>
          <w:p w:rsidR="00000000" w:rsidRDefault="00657A20">
            <w:pPr>
              <w:rPr>
                <w:b/>
              </w:rPr>
            </w:pPr>
            <w:r>
              <w:rPr>
                <w:b/>
              </w:rPr>
              <w:t>(Top Loader Balance)</w:t>
            </w:r>
          </w:p>
        </w:tc>
        <w:tc>
          <w:tcPr>
            <w:tcW w:w="2970" w:type="dxa"/>
          </w:tcPr>
          <w:p w:rsidR="00000000" w:rsidRDefault="00657A20">
            <w:pPr>
              <w:rPr>
                <w:b/>
              </w:rPr>
            </w:pPr>
            <w:r>
              <w:rPr>
                <w:b/>
              </w:rPr>
              <w:t>5 +/-0.05 g</w:t>
            </w:r>
          </w:p>
        </w:tc>
        <w:tc>
          <w:tcPr>
            <w:tcW w:w="1350" w:type="dxa"/>
          </w:tcPr>
          <w:p w:rsidR="00000000" w:rsidRDefault="00657A20">
            <w:pPr>
              <w:rPr>
                <w:b/>
              </w:rPr>
            </w:pPr>
            <w:r>
              <w:rPr>
                <w:b/>
              </w:rPr>
              <w:t>Type A</w:t>
            </w:r>
          </w:p>
        </w:tc>
        <w:tc>
          <w:tcPr>
            <w:tcW w:w="1530" w:type="dxa"/>
          </w:tcPr>
          <w:p w:rsidR="00000000" w:rsidRDefault="00657A20">
            <w:pPr>
              <w:rPr>
                <w:b/>
              </w:rPr>
            </w:pPr>
            <w:r>
              <w:rPr>
                <w:b/>
              </w:rPr>
              <w:t>Normal</w:t>
            </w:r>
          </w:p>
        </w:tc>
      </w:tr>
      <w:tr w:rsidR="00000000">
        <w:tblPrEx>
          <w:tblCellMar>
            <w:top w:w="0" w:type="dxa"/>
            <w:bottom w:w="0" w:type="dxa"/>
          </w:tblCellMar>
        </w:tblPrEx>
        <w:tc>
          <w:tcPr>
            <w:tcW w:w="3708" w:type="dxa"/>
          </w:tcPr>
          <w:p w:rsidR="00000000" w:rsidRDefault="00657A20">
            <w:pPr>
              <w:rPr>
                <w:b/>
              </w:rPr>
            </w:pPr>
            <w:r>
              <w:rPr>
                <w:b/>
              </w:rPr>
              <w:t>Sample Weight Wet (Tared)</w:t>
            </w:r>
          </w:p>
          <w:p w:rsidR="00000000" w:rsidRDefault="00657A20">
            <w:pPr>
              <w:rPr>
                <w:b/>
              </w:rPr>
            </w:pPr>
            <w:r>
              <w:rPr>
                <w:b/>
              </w:rPr>
              <w:t>(Top Loader Balance)</w:t>
            </w:r>
          </w:p>
        </w:tc>
        <w:tc>
          <w:tcPr>
            <w:tcW w:w="2970" w:type="dxa"/>
          </w:tcPr>
          <w:p w:rsidR="00000000" w:rsidRDefault="00657A20">
            <w:pPr>
              <w:rPr>
                <w:b/>
              </w:rPr>
            </w:pPr>
            <w:r>
              <w:rPr>
                <w:b/>
              </w:rPr>
              <w:t xml:space="preserve">996 +/-10 g </w:t>
            </w:r>
          </w:p>
        </w:tc>
        <w:tc>
          <w:tcPr>
            <w:tcW w:w="1350" w:type="dxa"/>
          </w:tcPr>
          <w:p w:rsidR="00000000" w:rsidRDefault="00657A20">
            <w:pPr>
              <w:rPr>
                <w:b/>
              </w:rPr>
            </w:pPr>
            <w:r>
              <w:rPr>
                <w:b/>
              </w:rPr>
              <w:t>Type A</w:t>
            </w:r>
          </w:p>
        </w:tc>
        <w:tc>
          <w:tcPr>
            <w:tcW w:w="1530" w:type="dxa"/>
          </w:tcPr>
          <w:p w:rsidR="00000000" w:rsidRDefault="00657A20">
            <w:pPr>
              <w:rPr>
                <w:b/>
              </w:rPr>
            </w:pPr>
            <w:r>
              <w:rPr>
                <w:b/>
              </w:rPr>
              <w:t>Normal</w:t>
            </w:r>
          </w:p>
        </w:tc>
      </w:tr>
      <w:tr w:rsidR="00000000">
        <w:tblPrEx>
          <w:tblCellMar>
            <w:top w:w="0" w:type="dxa"/>
            <w:bottom w:w="0" w:type="dxa"/>
          </w:tblCellMar>
        </w:tblPrEx>
        <w:tc>
          <w:tcPr>
            <w:tcW w:w="3708" w:type="dxa"/>
          </w:tcPr>
          <w:p w:rsidR="00000000" w:rsidRDefault="00657A20">
            <w:pPr>
              <w:rPr>
                <w:b/>
              </w:rPr>
            </w:pPr>
            <w:r>
              <w:rPr>
                <w:b/>
              </w:rPr>
              <w:t>Drying Temperature</w:t>
            </w:r>
          </w:p>
          <w:p w:rsidR="00000000" w:rsidRDefault="00657A20">
            <w:pPr>
              <w:rPr>
                <w:b/>
              </w:rPr>
            </w:pPr>
            <w:r>
              <w:rPr>
                <w:b/>
              </w:rPr>
              <w:t>(Thermometer)</w:t>
            </w:r>
          </w:p>
        </w:tc>
        <w:tc>
          <w:tcPr>
            <w:tcW w:w="2970" w:type="dxa"/>
          </w:tcPr>
          <w:p w:rsidR="00000000" w:rsidRDefault="00657A20">
            <w:pPr>
              <w:rPr>
                <w:b/>
              </w:rPr>
            </w:pPr>
            <w:r>
              <w:rPr>
                <w:b/>
              </w:rPr>
              <w:t xml:space="preserve">30 +/-4 </w:t>
            </w:r>
            <w:r>
              <w:rPr>
                <w:b/>
                <w:vertAlign w:val="superscript"/>
              </w:rPr>
              <w:t>o</w:t>
            </w:r>
            <w:r>
              <w:rPr>
                <w:b/>
              </w:rPr>
              <w:t xml:space="preserve"> C</w:t>
            </w:r>
          </w:p>
        </w:tc>
        <w:tc>
          <w:tcPr>
            <w:tcW w:w="1350" w:type="dxa"/>
          </w:tcPr>
          <w:p w:rsidR="00000000" w:rsidRDefault="00657A20">
            <w:pPr>
              <w:rPr>
                <w:b/>
              </w:rPr>
            </w:pPr>
            <w:r>
              <w:rPr>
                <w:b/>
              </w:rPr>
              <w:t>Type B</w:t>
            </w:r>
          </w:p>
        </w:tc>
        <w:tc>
          <w:tcPr>
            <w:tcW w:w="1530" w:type="dxa"/>
          </w:tcPr>
          <w:p w:rsidR="00000000" w:rsidRDefault="00657A20">
            <w:pPr>
              <w:rPr>
                <w:b/>
              </w:rPr>
            </w:pPr>
            <w:r>
              <w:rPr>
                <w:b/>
              </w:rPr>
              <w:t>U-shaped</w:t>
            </w:r>
          </w:p>
        </w:tc>
      </w:tr>
      <w:tr w:rsidR="00000000">
        <w:tblPrEx>
          <w:tblCellMar>
            <w:top w:w="0" w:type="dxa"/>
            <w:bottom w:w="0" w:type="dxa"/>
          </w:tblCellMar>
        </w:tblPrEx>
        <w:tc>
          <w:tcPr>
            <w:tcW w:w="3708" w:type="dxa"/>
          </w:tcPr>
          <w:p w:rsidR="00000000" w:rsidRDefault="00657A20">
            <w:pPr>
              <w:rPr>
                <w:b/>
              </w:rPr>
            </w:pPr>
            <w:r>
              <w:rPr>
                <w:b/>
              </w:rPr>
              <w:t>Drying Time</w:t>
            </w:r>
          </w:p>
          <w:p w:rsidR="00000000" w:rsidRDefault="00657A20">
            <w:pPr>
              <w:rPr>
                <w:b/>
              </w:rPr>
            </w:pPr>
            <w:r>
              <w:rPr>
                <w:b/>
              </w:rPr>
              <w:t>(Analog Clock)</w:t>
            </w:r>
          </w:p>
        </w:tc>
        <w:tc>
          <w:tcPr>
            <w:tcW w:w="2970" w:type="dxa"/>
          </w:tcPr>
          <w:p w:rsidR="00000000" w:rsidRDefault="00657A20">
            <w:pPr>
              <w:rPr>
                <w:b/>
              </w:rPr>
            </w:pPr>
            <w:r>
              <w:rPr>
                <w:b/>
              </w:rPr>
              <w:t>24 +/- 2 hours</w:t>
            </w:r>
          </w:p>
        </w:tc>
        <w:tc>
          <w:tcPr>
            <w:tcW w:w="1350" w:type="dxa"/>
          </w:tcPr>
          <w:p w:rsidR="00000000" w:rsidRDefault="00657A20">
            <w:pPr>
              <w:rPr>
                <w:b/>
              </w:rPr>
            </w:pPr>
            <w:r>
              <w:rPr>
                <w:b/>
              </w:rPr>
              <w:t>Type B</w:t>
            </w:r>
          </w:p>
        </w:tc>
        <w:tc>
          <w:tcPr>
            <w:tcW w:w="1530" w:type="dxa"/>
          </w:tcPr>
          <w:p w:rsidR="00000000" w:rsidRDefault="00657A20">
            <w:pPr>
              <w:rPr>
                <w:b/>
              </w:rPr>
            </w:pPr>
            <w:r>
              <w:rPr>
                <w:b/>
              </w:rPr>
              <w:t>Rectangular</w:t>
            </w:r>
          </w:p>
        </w:tc>
      </w:tr>
      <w:tr w:rsidR="00000000">
        <w:tblPrEx>
          <w:tblCellMar>
            <w:top w:w="0" w:type="dxa"/>
            <w:bottom w:w="0" w:type="dxa"/>
          </w:tblCellMar>
        </w:tblPrEx>
        <w:tc>
          <w:tcPr>
            <w:tcW w:w="3708" w:type="dxa"/>
          </w:tcPr>
          <w:p w:rsidR="00000000" w:rsidRDefault="00657A20">
            <w:pPr>
              <w:rPr>
                <w:b/>
              </w:rPr>
            </w:pPr>
            <w:r>
              <w:rPr>
                <w:b/>
              </w:rPr>
              <w:t>P</w:t>
            </w:r>
            <w:r>
              <w:rPr>
                <w:b/>
              </w:rPr>
              <w:t>article Size Reduction - #10 sieve 2 mm</w:t>
            </w:r>
          </w:p>
          <w:p w:rsidR="00000000" w:rsidRDefault="00657A20">
            <w:pPr>
              <w:rPr>
                <w:b/>
              </w:rPr>
            </w:pPr>
            <w:r>
              <w:rPr>
                <w:b/>
              </w:rPr>
              <w:t>(Milling Machine)</w:t>
            </w:r>
          </w:p>
        </w:tc>
        <w:tc>
          <w:tcPr>
            <w:tcW w:w="2970" w:type="dxa"/>
          </w:tcPr>
          <w:p w:rsidR="00000000" w:rsidRDefault="00657A20">
            <w:pPr>
              <w:rPr>
                <w:b/>
              </w:rPr>
            </w:pPr>
            <w:r>
              <w:rPr>
                <w:b/>
              </w:rPr>
              <w:t>1+/- 1 mm</w:t>
            </w:r>
          </w:p>
        </w:tc>
        <w:tc>
          <w:tcPr>
            <w:tcW w:w="1350" w:type="dxa"/>
          </w:tcPr>
          <w:p w:rsidR="00000000" w:rsidRDefault="00657A20">
            <w:pPr>
              <w:rPr>
                <w:b/>
              </w:rPr>
            </w:pPr>
            <w:r>
              <w:rPr>
                <w:b/>
              </w:rPr>
              <w:t>Type B</w:t>
            </w:r>
          </w:p>
        </w:tc>
        <w:tc>
          <w:tcPr>
            <w:tcW w:w="1530" w:type="dxa"/>
          </w:tcPr>
          <w:p w:rsidR="00000000" w:rsidRDefault="00657A20">
            <w:pPr>
              <w:rPr>
                <w:b/>
              </w:rPr>
            </w:pPr>
            <w:r>
              <w:rPr>
                <w:b/>
              </w:rPr>
              <w:t>Triangular</w:t>
            </w:r>
          </w:p>
        </w:tc>
      </w:tr>
      <w:tr w:rsidR="00000000">
        <w:tblPrEx>
          <w:tblCellMar>
            <w:top w:w="0" w:type="dxa"/>
            <w:bottom w:w="0" w:type="dxa"/>
          </w:tblCellMar>
        </w:tblPrEx>
        <w:tc>
          <w:tcPr>
            <w:tcW w:w="3708" w:type="dxa"/>
          </w:tcPr>
          <w:p w:rsidR="00000000" w:rsidRDefault="00657A20">
            <w:pPr>
              <w:rPr>
                <w:b/>
              </w:rPr>
            </w:pPr>
            <w:r>
              <w:rPr>
                <w:b/>
              </w:rPr>
              <w:t>Homogenization</w:t>
            </w:r>
          </w:p>
          <w:p w:rsidR="00000000" w:rsidRDefault="00657A20">
            <w:pPr>
              <w:rPr>
                <w:b/>
              </w:rPr>
            </w:pPr>
            <w:r>
              <w:rPr>
                <w:b/>
              </w:rPr>
              <w:t>(Tumbler Blending Machine)</w:t>
            </w:r>
          </w:p>
        </w:tc>
        <w:tc>
          <w:tcPr>
            <w:tcW w:w="2970" w:type="dxa"/>
          </w:tcPr>
          <w:p w:rsidR="00000000" w:rsidRDefault="00657A20">
            <w:pPr>
              <w:rPr>
                <w:b/>
              </w:rPr>
            </w:pPr>
            <w:r>
              <w:rPr>
                <w:b/>
              </w:rPr>
              <w:t>30+/-2 rpm</w:t>
            </w:r>
          </w:p>
        </w:tc>
        <w:tc>
          <w:tcPr>
            <w:tcW w:w="1350" w:type="dxa"/>
          </w:tcPr>
          <w:p w:rsidR="00000000" w:rsidRDefault="00657A20">
            <w:pPr>
              <w:rPr>
                <w:b/>
              </w:rPr>
            </w:pPr>
            <w:r>
              <w:rPr>
                <w:b/>
              </w:rPr>
              <w:t>Type B</w:t>
            </w:r>
          </w:p>
        </w:tc>
        <w:tc>
          <w:tcPr>
            <w:tcW w:w="1530" w:type="dxa"/>
          </w:tcPr>
          <w:p w:rsidR="00000000" w:rsidRDefault="00657A20">
            <w:pPr>
              <w:rPr>
                <w:b/>
              </w:rPr>
            </w:pPr>
            <w:r>
              <w:rPr>
                <w:b/>
              </w:rPr>
              <w:t>Triangular</w:t>
            </w:r>
          </w:p>
        </w:tc>
      </w:tr>
      <w:tr w:rsidR="00000000">
        <w:tblPrEx>
          <w:tblCellMar>
            <w:top w:w="0" w:type="dxa"/>
            <w:bottom w:w="0" w:type="dxa"/>
          </w:tblCellMar>
        </w:tblPrEx>
        <w:tc>
          <w:tcPr>
            <w:tcW w:w="3708" w:type="dxa"/>
          </w:tcPr>
          <w:p w:rsidR="00000000" w:rsidRDefault="00657A20">
            <w:pPr>
              <w:rPr>
                <w:b/>
              </w:rPr>
            </w:pPr>
            <w:r>
              <w:rPr>
                <w:b/>
              </w:rPr>
              <w:t>Tumbler Time</w:t>
            </w:r>
          </w:p>
          <w:p w:rsidR="00000000" w:rsidRDefault="00657A20">
            <w:pPr>
              <w:rPr>
                <w:b/>
              </w:rPr>
            </w:pPr>
            <w:r>
              <w:rPr>
                <w:b/>
              </w:rPr>
              <w:t>(Analog Clock)</w:t>
            </w:r>
          </w:p>
        </w:tc>
        <w:tc>
          <w:tcPr>
            <w:tcW w:w="2970" w:type="dxa"/>
          </w:tcPr>
          <w:p w:rsidR="00000000" w:rsidRDefault="00657A20">
            <w:pPr>
              <w:rPr>
                <w:b/>
              </w:rPr>
            </w:pPr>
            <w:r>
              <w:rPr>
                <w:b/>
              </w:rPr>
              <w:t>18+/-2 hours</w:t>
            </w:r>
          </w:p>
          <w:p w:rsidR="00000000" w:rsidRDefault="00657A20">
            <w:pPr>
              <w:rPr>
                <w:b/>
              </w:rPr>
            </w:pPr>
          </w:p>
        </w:tc>
        <w:tc>
          <w:tcPr>
            <w:tcW w:w="1350" w:type="dxa"/>
          </w:tcPr>
          <w:p w:rsidR="00000000" w:rsidRDefault="00657A20">
            <w:pPr>
              <w:rPr>
                <w:b/>
              </w:rPr>
            </w:pPr>
            <w:r>
              <w:rPr>
                <w:b/>
              </w:rPr>
              <w:t>Type B</w:t>
            </w:r>
          </w:p>
        </w:tc>
        <w:tc>
          <w:tcPr>
            <w:tcW w:w="1530" w:type="dxa"/>
          </w:tcPr>
          <w:p w:rsidR="00000000" w:rsidRDefault="00657A20">
            <w:pPr>
              <w:rPr>
                <w:b/>
              </w:rPr>
            </w:pPr>
            <w:r>
              <w:rPr>
                <w:b/>
              </w:rPr>
              <w:t>Rectangular</w:t>
            </w:r>
          </w:p>
        </w:tc>
      </w:tr>
      <w:tr w:rsidR="00000000">
        <w:tblPrEx>
          <w:tblCellMar>
            <w:top w:w="0" w:type="dxa"/>
            <w:bottom w:w="0" w:type="dxa"/>
          </w:tblCellMar>
        </w:tblPrEx>
        <w:tc>
          <w:tcPr>
            <w:tcW w:w="3708" w:type="dxa"/>
          </w:tcPr>
          <w:p w:rsidR="00000000" w:rsidRDefault="00657A20">
            <w:pPr>
              <w:rPr>
                <w:b/>
              </w:rPr>
            </w:pPr>
            <w:r>
              <w:rPr>
                <w:b/>
              </w:rPr>
              <w:t>Weight of the Dried Sample + Boat D</w:t>
            </w:r>
            <w:r>
              <w:rPr>
                <w:b/>
              </w:rPr>
              <w:t xml:space="preserve">ry </w:t>
            </w:r>
          </w:p>
          <w:p w:rsidR="00000000" w:rsidRDefault="00657A20">
            <w:pPr>
              <w:rPr>
                <w:b/>
              </w:rPr>
            </w:pPr>
            <w:r>
              <w:rPr>
                <w:b/>
              </w:rPr>
              <w:t>(Top Loader Balance)</w:t>
            </w:r>
          </w:p>
        </w:tc>
        <w:tc>
          <w:tcPr>
            <w:tcW w:w="2970" w:type="dxa"/>
          </w:tcPr>
          <w:p w:rsidR="00000000" w:rsidRDefault="00657A20">
            <w:pPr>
              <w:rPr>
                <w:b/>
              </w:rPr>
            </w:pPr>
            <w:r>
              <w:rPr>
                <w:b/>
              </w:rPr>
              <w:t>664 +/- 7 g</w:t>
            </w:r>
          </w:p>
        </w:tc>
        <w:tc>
          <w:tcPr>
            <w:tcW w:w="1350" w:type="dxa"/>
          </w:tcPr>
          <w:p w:rsidR="00000000" w:rsidRDefault="00657A20">
            <w:pPr>
              <w:rPr>
                <w:b/>
              </w:rPr>
            </w:pPr>
            <w:r>
              <w:rPr>
                <w:b/>
              </w:rPr>
              <w:t>Type A</w:t>
            </w:r>
          </w:p>
        </w:tc>
        <w:tc>
          <w:tcPr>
            <w:tcW w:w="1530" w:type="dxa"/>
          </w:tcPr>
          <w:p w:rsidR="00000000" w:rsidRDefault="00657A20">
            <w:pPr>
              <w:rPr>
                <w:b/>
              </w:rPr>
            </w:pPr>
            <w:r>
              <w:rPr>
                <w:b/>
              </w:rPr>
              <w:t>Normal</w:t>
            </w:r>
          </w:p>
        </w:tc>
      </w:tr>
      <w:tr w:rsidR="00000000">
        <w:tblPrEx>
          <w:tblCellMar>
            <w:top w:w="0" w:type="dxa"/>
            <w:bottom w:w="0" w:type="dxa"/>
          </w:tblCellMar>
        </w:tblPrEx>
        <w:tc>
          <w:tcPr>
            <w:tcW w:w="3708" w:type="dxa"/>
          </w:tcPr>
          <w:p w:rsidR="00000000" w:rsidRDefault="00657A20">
            <w:pPr>
              <w:rPr>
                <w:b/>
              </w:rPr>
            </w:pPr>
            <w:r>
              <w:rPr>
                <w:b/>
              </w:rPr>
              <w:t>Weighing-Boat Weight</w:t>
            </w:r>
          </w:p>
          <w:p w:rsidR="00000000" w:rsidRDefault="00657A20">
            <w:pPr>
              <w:rPr>
                <w:b/>
              </w:rPr>
            </w:pPr>
            <w:r>
              <w:rPr>
                <w:b/>
              </w:rPr>
              <w:t>(Analytical Balance)</w:t>
            </w:r>
          </w:p>
        </w:tc>
        <w:tc>
          <w:tcPr>
            <w:tcW w:w="2970" w:type="dxa"/>
          </w:tcPr>
          <w:p w:rsidR="00000000" w:rsidRDefault="00657A20">
            <w:pPr>
              <w:rPr>
                <w:b/>
              </w:rPr>
            </w:pPr>
            <w:r>
              <w:rPr>
                <w:b/>
              </w:rPr>
              <w:t>1+/-0.001 g</w:t>
            </w:r>
          </w:p>
        </w:tc>
        <w:tc>
          <w:tcPr>
            <w:tcW w:w="1350" w:type="dxa"/>
          </w:tcPr>
          <w:p w:rsidR="00000000" w:rsidRDefault="00657A20">
            <w:pPr>
              <w:rPr>
                <w:b/>
              </w:rPr>
            </w:pPr>
            <w:r>
              <w:rPr>
                <w:b/>
              </w:rPr>
              <w:t>Type A</w:t>
            </w:r>
          </w:p>
        </w:tc>
        <w:tc>
          <w:tcPr>
            <w:tcW w:w="1530" w:type="dxa"/>
          </w:tcPr>
          <w:p w:rsidR="00000000" w:rsidRDefault="00657A20">
            <w:pPr>
              <w:rPr>
                <w:b/>
              </w:rPr>
            </w:pPr>
            <w:r>
              <w:rPr>
                <w:b/>
              </w:rPr>
              <w:t>Normal</w:t>
            </w:r>
          </w:p>
        </w:tc>
      </w:tr>
      <w:tr w:rsidR="00000000">
        <w:tblPrEx>
          <w:tblCellMar>
            <w:top w:w="0" w:type="dxa"/>
            <w:bottom w:w="0" w:type="dxa"/>
          </w:tblCellMar>
        </w:tblPrEx>
        <w:tc>
          <w:tcPr>
            <w:tcW w:w="3708" w:type="dxa"/>
          </w:tcPr>
          <w:p w:rsidR="00000000" w:rsidRDefault="00657A20">
            <w:pPr>
              <w:rPr>
                <w:b/>
              </w:rPr>
            </w:pPr>
            <w:r>
              <w:rPr>
                <w:b/>
              </w:rPr>
              <w:t>Weight of the Subsample  (Tared)</w:t>
            </w:r>
          </w:p>
          <w:p w:rsidR="00000000" w:rsidRDefault="00657A20">
            <w:pPr>
              <w:rPr>
                <w:b/>
              </w:rPr>
            </w:pPr>
            <w:r>
              <w:rPr>
                <w:b/>
              </w:rPr>
              <w:t>(Analytical Balance)</w:t>
            </w:r>
          </w:p>
        </w:tc>
        <w:tc>
          <w:tcPr>
            <w:tcW w:w="2970" w:type="dxa"/>
          </w:tcPr>
          <w:p w:rsidR="00000000" w:rsidRDefault="00657A20">
            <w:pPr>
              <w:rPr>
                <w:b/>
              </w:rPr>
            </w:pPr>
            <w:r>
              <w:rPr>
                <w:b/>
              </w:rPr>
              <w:t>2+/-0.002 g</w:t>
            </w:r>
          </w:p>
        </w:tc>
        <w:tc>
          <w:tcPr>
            <w:tcW w:w="1350" w:type="dxa"/>
          </w:tcPr>
          <w:p w:rsidR="00000000" w:rsidRDefault="00657A20">
            <w:pPr>
              <w:rPr>
                <w:b/>
              </w:rPr>
            </w:pPr>
            <w:r>
              <w:rPr>
                <w:b/>
              </w:rPr>
              <w:t>Type A</w:t>
            </w:r>
          </w:p>
        </w:tc>
        <w:tc>
          <w:tcPr>
            <w:tcW w:w="1530" w:type="dxa"/>
          </w:tcPr>
          <w:p w:rsidR="00000000" w:rsidRDefault="00657A20">
            <w:pPr>
              <w:rPr>
                <w:b/>
              </w:rPr>
            </w:pPr>
            <w:r>
              <w:rPr>
                <w:b/>
              </w:rPr>
              <w:t>Normal</w:t>
            </w:r>
          </w:p>
        </w:tc>
      </w:tr>
      <w:tr w:rsidR="00000000">
        <w:tblPrEx>
          <w:tblCellMar>
            <w:top w:w="0" w:type="dxa"/>
            <w:bottom w:w="0" w:type="dxa"/>
          </w:tblCellMar>
        </w:tblPrEx>
        <w:tc>
          <w:tcPr>
            <w:tcW w:w="3708" w:type="dxa"/>
          </w:tcPr>
          <w:p w:rsidR="00000000" w:rsidRDefault="00657A20">
            <w:pPr>
              <w:rPr>
                <w:b/>
              </w:rPr>
            </w:pPr>
            <w:r>
              <w:rPr>
                <w:b/>
              </w:rPr>
              <w:t>Quantitative Transfer Efficiency</w:t>
            </w:r>
          </w:p>
          <w:p w:rsidR="00000000" w:rsidRDefault="00657A20">
            <w:pPr>
              <w:rPr>
                <w:b/>
              </w:rPr>
            </w:pPr>
            <w:r>
              <w:rPr>
                <w:b/>
              </w:rPr>
              <w:t>(From Weighing-Boat t</w:t>
            </w:r>
            <w:r>
              <w:rPr>
                <w:b/>
              </w:rPr>
              <w:t>o Beaker)</w:t>
            </w:r>
          </w:p>
        </w:tc>
        <w:tc>
          <w:tcPr>
            <w:tcW w:w="2970" w:type="dxa"/>
          </w:tcPr>
          <w:p w:rsidR="00000000" w:rsidRDefault="00657A20">
            <w:pPr>
              <w:rPr>
                <w:b/>
              </w:rPr>
            </w:pPr>
            <w:r>
              <w:rPr>
                <w:b/>
              </w:rPr>
              <w:t>99+/-1%</w:t>
            </w:r>
          </w:p>
          <w:p w:rsidR="00000000" w:rsidRDefault="00657A20">
            <w:pPr>
              <w:rPr>
                <w:b/>
              </w:rPr>
            </w:pPr>
          </w:p>
        </w:tc>
        <w:tc>
          <w:tcPr>
            <w:tcW w:w="1350" w:type="dxa"/>
          </w:tcPr>
          <w:p w:rsidR="00000000" w:rsidRDefault="00657A20">
            <w:pPr>
              <w:rPr>
                <w:b/>
              </w:rPr>
            </w:pPr>
            <w:r>
              <w:rPr>
                <w:b/>
              </w:rPr>
              <w:t>Type B</w:t>
            </w:r>
          </w:p>
        </w:tc>
        <w:tc>
          <w:tcPr>
            <w:tcW w:w="1530" w:type="dxa"/>
          </w:tcPr>
          <w:p w:rsidR="00000000" w:rsidRDefault="00657A20">
            <w:pPr>
              <w:rPr>
                <w:b/>
              </w:rPr>
            </w:pPr>
            <w:r>
              <w:rPr>
                <w:b/>
              </w:rPr>
              <w:t>Triangular</w:t>
            </w:r>
          </w:p>
        </w:tc>
      </w:tr>
      <w:tr w:rsidR="00000000">
        <w:tblPrEx>
          <w:tblCellMar>
            <w:top w:w="0" w:type="dxa"/>
            <w:bottom w:w="0" w:type="dxa"/>
          </w:tblCellMar>
        </w:tblPrEx>
        <w:tc>
          <w:tcPr>
            <w:tcW w:w="3708" w:type="dxa"/>
          </w:tcPr>
          <w:p w:rsidR="00000000" w:rsidRDefault="00657A20">
            <w:pPr>
              <w:rPr>
                <w:b/>
              </w:rPr>
            </w:pPr>
            <w:r>
              <w:rPr>
                <w:b/>
              </w:rPr>
              <w:t xml:space="preserve">Spike Volume </w:t>
            </w:r>
          </w:p>
          <w:p w:rsidR="00000000" w:rsidRDefault="00657A20">
            <w:pPr>
              <w:rPr>
                <w:b/>
              </w:rPr>
            </w:pPr>
            <w:r>
              <w:rPr>
                <w:b/>
              </w:rPr>
              <w:t xml:space="preserve">(Eppendorf Pipette) </w:t>
            </w:r>
          </w:p>
        </w:tc>
        <w:tc>
          <w:tcPr>
            <w:tcW w:w="2970" w:type="dxa"/>
          </w:tcPr>
          <w:p w:rsidR="00000000" w:rsidRDefault="00657A20">
            <w:pPr>
              <w:rPr>
                <w:b/>
              </w:rPr>
            </w:pPr>
            <w:r>
              <w:rPr>
                <w:b/>
              </w:rPr>
              <w:t>0.5 +/- 0.005 mL</w:t>
            </w:r>
          </w:p>
        </w:tc>
        <w:tc>
          <w:tcPr>
            <w:tcW w:w="1350" w:type="dxa"/>
          </w:tcPr>
          <w:p w:rsidR="00000000" w:rsidRDefault="00657A20">
            <w:pPr>
              <w:rPr>
                <w:b/>
              </w:rPr>
            </w:pPr>
            <w:r>
              <w:rPr>
                <w:b/>
              </w:rPr>
              <w:t>Type A</w:t>
            </w:r>
          </w:p>
        </w:tc>
        <w:tc>
          <w:tcPr>
            <w:tcW w:w="1530" w:type="dxa"/>
          </w:tcPr>
          <w:p w:rsidR="00000000" w:rsidRDefault="00657A20">
            <w:pPr>
              <w:rPr>
                <w:b/>
              </w:rPr>
            </w:pPr>
            <w:r>
              <w:rPr>
                <w:b/>
              </w:rPr>
              <w:t>Normal</w:t>
            </w:r>
          </w:p>
        </w:tc>
      </w:tr>
      <w:tr w:rsidR="00000000">
        <w:tblPrEx>
          <w:tblCellMar>
            <w:top w:w="0" w:type="dxa"/>
            <w:bottom w:w="0" w:type="dxa"/>
          </w:tblCellMar>
        </w:tblPrEx>
        <w:tc>
          <w:tcPr>
            <w:tcW w:w="3708" w:type="dxa"/>
          </w:tcPr>
          <w:p w:rsidR="00000000" w:rsidRDefault="00657A20">
            <w:pPr>
              <w:rPr>
                <w:b/>
              </w:rPr>
            </w:pPr>
            <w:r>
              <w:rPr>
                <w:b/>
              </w:rPr>
              <w:t xml:space="preserve">Spike Concentration </w:t>
            </w:r>
          </w:p>
          <w:p w:rsidR="00000000" w:rsidRDefault="00657A20">
            <w:pPr>
              <w:rPr>
                <w:b/>
              </w:rPr>
            </w:pPr>
            <w:r>
              <w:rPr>
                <w:b/>
              </w:rPr>
              <w:t>(Manufacture’s Reagent Purity)</w:t>
            </w:r>
          </w:p>
        </w:tc>
        <w:tc>
          <w:tcPr>
            <w:tcW w:w="2970" w:type="dxa"/>
          </w:tcPr>
          <w:p w:rsidR="00000000" w:rsidRDefault="00657A20">
            <w:pPr>
              <w:rPr>
                <w:b/>
              </w:rPr>
            </w:pPr>
            <w:r>
              <w:rPr>
                <w:b/>
              </w:rPr>
              <w:t>995 +/- 10 mg/L</w:t>
            </w:r>
          </w:p>
        </w:tc>
        <w:tc>
          <w:tcPr>
            <w:tcW w:w="1350" w:type="dxa"/>
          </w:tcPr>
          <w:p w:rsidR="00000000" w:rsidRDefault="00657A20">
            <w:pPr>
              <w:rPr>
                <w:b/>
              </w:rPr>
            </w:pPr>
            <w:r>
              <w:rPr>
                <w:b/>
              </w:rPr>
              <w:t>Type B</w:t>
            </w:r>
          </w:p>
        </w:tc>
        <w:tc>
          <w:tcPr>
            <w:tcW w:w="1530" w:type="dxa"/>
          </w:tcPr>
          <w:p w:rsidR="00000000" w:rsidRDefault="00657A20">
            <w:pPr>
              <w:rPr>
                <w:b/>
              </w:rPr>
            </w:pPr>
            <w:r>
              <w:rPr>
                <w:b/>
              </w:rPr>
              <w:t>Rectangular</w:t>
            </w:r>
          </w:p>
        </w:tc>
      </w:tr>
      <w:tr w:rsidR="00000000">
        <w:tblPrEx>
          <w:tblCellMar>
            <w:top w:w="0" w:type="dxa"/>
            <w:bottom w:w="0" w:type="dxa"/>
          </w:tblCellMar>
        </w:tblPrEx>
        <w:tc>
          <w:tcPr>
            <w:tcW w:w="3708" w:type="dxa"/>
          </w:tcPr>
          <w:p w:rsidR="00000000" w:rsidRDefault="00657A20">
            <w:pPr>
              <w:rPr>
                <w:b/>
              </w:rPr>
            </w:pPr>
            <w:r>
              <w:rPr>
                <w:b/>
              </w:rPr>
              <w:t>Hot-Plate/Hot-Block/Microwave Digestion Temperature (Thermomete</w:t>
            </w:r>
            <w:r>
              <w:rPr>
                <w:b/>
              </w:rPr>
              <w:t>r)</w:t>
            </w:r>
          </w:p>
        </w:tc>
        <w:tc>
          <w:tcPr>
            <w:tcW w:w="2970" w:type="dxa"/>
          </w:tcPr>
          <w:p w:rsidR="00000000" w:rsidRDefault="00657A20">
            <w:pPr>
              <w:rPr>
                <w:b/>
              </w:rPr>
            </w:pPr>
            <w:r>
              <w:rPr>
                <w:b/>
              </w:rPr>
              <w:t xml:space="preserve">95 +/-5 </w:t>
            </w:r>
            <w:r>
              <w:rPr>
                <w:b/>
                <w:vertAlign w:val="superscript"/>
              </w:rPr>
              <w:t>o</w:t>
            </w:r>
            <w:r>
              <w:rPr>
                <w:b/>
              </w:rPr>
              <w:t xml:space="preserve"> C </w:t>
            </w:r>
          </w:p>
        </w:tc>
        <w:tc>
          <w:tcPr>
            <w:tcW w:w="1350" w:type="dxa"/>
          </w:tcPr>
          <w:p w:rsidR="00000000" w:rsidRDefault="00657A20">
            <w:pPr>
              <w:rPr>
                <w:b/>
              </w:rPr>
            </w:pPr>
            <w:r>
              <w:rPr>
                <w:b/>
              </w:rPr>
              <w:t>Type B</w:t>
            </w:r>
          </w:p>
        </w:tc>
        <w:tc>
          <w:tcPr>
            <w:tcW w:w="1530" w:type="dxa"/>
          </w:tcPr>
          <w:p w:rsidR="00000000" w:rsidRDefault="00657A20">
            <w:pPr>
              <w:rPr>
                <w:b/>
              </w:rPr>
            </w:pPr>
            <w:r>
              <w:rPr>
                <w:b/>
              </w:rPr>
              <w:t>U-shaped</w:t>
            </w:r>
          </w:p>
        </w:tc>
      </w:tr>
      <w:tr w:rsidR="00000000">
        <w:tblPrEx>
          <w:tblCellMar>
            <w:top w:w="0" w:type="dxa"/>
            <w:bottom w:w="0" w:type="dxa"/>
          </w:tblCellMar>
        </w:tblPrEx>
        <w:tc>
          <w:tcPr>
            <w:tcW w:w="3708" w:type="dxa"/>
          </w:tcPr>
          <w:p w:rsidR="00000000" w:rsidRDefault="00657A20">
            <w:pPr>
              <w:rPr>
                <w:b/>
              </w:rPr>
            </w:pPr>
            <w:r>
              <w:rPr>
                <w:b/>
              </w:rPr>
              <w:t>Extraction Time</w:t>
            </w:r>
          </w:p>
          <w:p w:rsidR="00000000" w:rsidRDefault="00657A20">
            <w:pPr>
              <w:rPr>
                <w:b/>
              </w:rPr>
            </w:pPr>
            <w:r>
              <w:rPr>
                <w:b/>
              </w:rPr>
              <w:t>(Analog Clock)</w:t>
            </w:r>
          </w:p>
        </w:tc>
        <w:tc>
          <w:tcPr>
            <w:tcW w:w="2970" w:type="dxa"/>
          </w:tcPr>
          <w:p w:rsidR="00000000" w:rsidRDefault="00657A20">
            <w:pPr>
              <w:rPr>
                <w:b/>
              </w:rPr>
            </w:pPr>
            <w:r>
              <w:rPr>
                <w:b/>
              </w:rPr>
              <w:t>4.75+/-0.25 hours</w:t>
            </w:r>
          </w:p>
        </w:tc>
        <w:tc>
          <w:tcPr>
            <w:tcW w:w="1350" w:type="dxa"/>
          </w:tcPr>
          <w:p w:rsidR="00000000" w:rsidRDefault="00657A20">
            <w:pPr>
              <w:rPr>
                <w:b/>
              </w:rPr>
            </w:pPr>
            <w:r>
              <w:rPr>
                <w:b/>
              </w:rPr>
              <w:t>Type B</w:t>
            </w:r>
          </w:p>
        </w:tc>
        <w:tc>
          <w:tcPr>
            <w:tcW w:w="1530" w:type="dxa"/>
          </w:tcPr>
          <w:p w:rsidR="00000000" w:rsidRDefault="00657A20">
            <w:pPr>
              <w:rPr>
                <w:b/>
              </w:rPr>
            </w:pPr>
            <w:r>
              <w:rPr>
                <w:b/>
              </w:rPr>
              <w:t>Rectangular</w:t>
            </w:r>
          </w:p>
        </w:tc>
      </w:tr>
      <w:tr w:rsidR="00000000">
        <w:tblPrEx>
          <w:tblCellMar>
            <w:top w:w="0" w:type="dxa"/>
            <w:bottom w:w="0" w:type="dxa"/>
          </w:tblCellMar>
        </w:tblPrEx>
        <w:tc>
          <w:tcPr>
            <w:tcW w:w="3708" w:type="dxa"/>
          </w:tcPr>
          <w:p w:rsidR="00000000" w:rsidRDefault="00657A20">
            <w:pPr>
              <w:rPr>
                <w:b/>
              </w:rPr>
            </w:pPr>
            <w:r>
              <w:rPr>
                <w:b/>
              </w:rPr>
              <w:t xml:space="preserve">Nitric Acid Volume </w:t>
            </w:r>
          </w:p>
          <w:p w:rsidR="00000000" w:rsidRDefault="00657A20">
            <w:pPr>
              <w:rPr>
                <w:b/>
              </w:rPr>
            </w:pPr>
            <w:r>
              <w:rPr>
                <w:b/>
              </w:rPr>
              <w:t>(Transfer Pipette)</w:t>
            </w:r>
          </w:p>
        </w:tc>
        <w:tc>
          <w:tcPr>
            <w:tcW w:w="2970" w:type="dxa"/>
          </w:tcPr>
          <w:p w:rsidR="00000000" w:rsidRDefault="00657A20">
            <w:pPr>
              <w:rPr>
                <w:b/>
              </w:rPr>
            </w:pPr>
            <w:r>
              <w:rPr>
                <w:b/>
              </w:rPr>
              <w:t>10 +/- 1 mL</w:t>
            </w:r>
          </w:p>
        </w:tc>
        <w:tc>
          <w:tcPr>
            <w:tcW w:w="1350" w:type="dxa"/>
          </w:tcPr>
          <w:p w:rsidR="00000000" w:rsidRDefault="00657A20">
            <w:pPr>
              <w:rPr>
                <w:b/>
              </w:rPr>
            </w:pPr>
            <w:r>
              <w:rPr>
                <w:b/>
              </w:rPr>
              <w:t>Type B</w:t>
            </w:r>
          </w:p>
        </w:tc>
        <w:tc>
          <w:tcPr>
            <w:tcW w:w="1530" w:type="dxa"/>
          </w:tcPr>
          <w:p w:rsidR="00000000" w:rsidRDefault="00657A20">
            <w:pPr>
              <w:rPr>
                <w:b/>
              </w:rPr>
            </w:pPr>
            <w:r>
              <w:rPr>
                <w:b/>
              </w:rPr>
              <w:t>Triangular</w:t>
            </w:r>
          </w:p>
        </w:tc>
      </w:tr>
      <w:tr w:rsidR="00000000">
        <w:tblPrEx>
          <w:tblCellMar>
            <w:top w:w="0" w:type="dxa"/>
            <w:bottom w:w="0" w:type="dxa"/>
          </w:tblCellMar>
        </w:tblPrEx>
        <w:tc>
          <w:tcPr>
            <w:tcW w:w="3708" w:type="dxa"/>
          </w:tcPr>
          <w:p w:rsidR="00000000" w:rsidRDefault="00657A20">
            <w:pPr>
              <w:rPr>
                <w:b/>
              </w:rPr>
            </w:pPr>
            <w:r>
              <w:rPr>
                <w:b/>
              </w:rPr>
              <w:t>Nitric Acid Concentration</w:t>
            </w:r>
          </w:p>
          <w:p w:rsidR="00000000" w:rsidRDefault="00657A20">
            <w:pPr>
              <w:rPr>
                <w:b/>
              </w:rPr>
            </w:pPr>
            <w:r>
              <w:rPr>
                <w:b/>
              </w:rPr>
              <w:t>(Manufacture’s Reagent Purity)</w:t>
            </w:r>
          </w:p>
        </w:tc>
        <w:tc>
          <w:tcPr>
            <w:tcW w:w="2970" w:type="dxa"/>
          </w:tcPr>
          <w:p w:rsidR="00000000" w:rsidRDefault="00657A20">
            <w:pPr>
              <w:rPr>
                <w:b/>
              </w:rPr>
            </w:pPr>
            <w:r>
              <w:rPr>
                <w:b/>
              </w:rPr>
              <w:t>69.5 +/- 0.5 %</w:t>
            </w:r>
          </w:p>
        </w:tc>
        <w:tc>
          <w:tcPr>
            <w:tcW w:w="1350" w:type="dxa"/>
          </w:tcPr>
          <w:p w:rsidR="00000000" w:rsidRDefault="00657A20">
            <w:pPr>
              <w:rPr>
                <w:b/>
              </w:rPr>
            </w:pPr>
            <w:r>
              <w:rPr>
                <w:b/>
              </w:rPr>
              <w:t>Type B</w:t>
            </w:r>
          </w:p>
        </w:tc>
        <w:tc>
          <w:tcPr>
            <w:tcW w:w="1530" w:type="dxa"/>
          </w:tcPr>
          <w:p w:rsidR="00000000" w:rsidRDefault="00657A20">
            <w:pPr>
              <w:rPr>
                <w:b/>
              </w:rPr>
            </w:pPr>
            <w:r>
              <w:rPr>
                <w:b/>
              </w:rPr>
              <w:t>Recta</w:t>
            </w:r>
            <w:r>
              <w:rPr>
                <w:b/>
              </w:rPr>
              <w:t>ngular</w:t>
            </w:r>
          </w:p>
        </w:tc>
      </w:tr>
      <w:tr w:rsidR="00000000">
        <w:tblPrEx>
          <w:tblCellMar>
            <w:top w:w="0" w:type="dxa"/>
            <w:bottom w:w="0" w:type="dxa"/>
          </w:tblCellMar>
        </w:tblPrEx>
        <w:tc>
          <w:tcPr>
            <w:tcW w:w="3708" w:type="dxa"/>
          </w:tcPr>
          <w:p w:rsidR="00000000" w:rsidRDefault="00657A20">
            <w:pPr>
              <w:rPr>
                <w:b/>
              </w:rPr>
            </w:pPr>
            <w:r>
              <w:rPr>
                <w:b/>
              </w:rPr>
              <w:t>Hydrogen Peroxide Volume</w:t>
            </w:r>
          </w:p>
          <w:p w:rsidR="00000000" w:rsidRDefault="00657A20">
            <w:pPr>
              <w:rPr>
                <w:b/>
              </w:rPr>
            </w:pPr>
            <w:r>
              <w:rPr>
                <w:b/>
              </w:rPr>
              <w:t>(Transfer Pipette)</w:t>
            </w:r>
          </w:p>
        </w:tc>
        <w:tc>
          <w:tcPr>
            <w:tcW w:w="2970" w:type="dxa"/>
          </w:tcPr>
          <w:p w:rsidR="00000000" w:rsidRDefault="00657A20">
            <w:pPr>
              <w:rPr>
                <w:b/>
              </w:rPr>
            </w:pPr>
            <w:r>
              <w:rPr>
                <w:b/>
              </w:rPr>
              <w:t>10+/-3 mL</w:t>
            </w:r>
          </w:p>
        </w:tc>
        <w:tc>
          <w:tcPr>
            <w:tcW w:w="1350" w:type="dxa"/>
          </w:tcPr>
          <w:p w:rsidR="00000000" w:rsidRDefault="00657A20">
            <w:pPr>
              <w:rPr>
                <w:b/>
              </w:rPr>
            </w:pPr>
            <w:r>
              <w:rPr>
                <w:b/>
              </w:rPr>
              <w:t>Type B</w:t>
            </w:r>
          </w:p>
        </w:tc>
        <w:tc>
          <w:tcPr>
            <w:tcW w:w="1530" w:type="dxa"/>
          </w:tcPr>
          <w:p w:rsidR="00000000" w:rsidRDefault="00657A20">
            <w:pPr>
              <w:rPr>
                <w:b/>
              </w:rPr>
            </w:pPr>
            <w:r>
              <w:rPr>
                <w:b/>
              </w:rPr>
              <w:t>Triangular</w:t>
            </w:r>
          </w:p>
        </w:tc>
      </w:tr>
      <w:tr w:rsidR="00000000">
        <w:tblPrEx>
          <w:tblCellMar>
            <w:top w:w="0" w:type="dxa"/>
            <w:bottom w:w="0" w:type="dxa"/>
          </w:tblCellMar>
        </w:tblPrEx>
        <w:tc>
          <w:tcPr>
            <w:tcW w:w="3708" w:type="dxa"/>
          </w:tcPr>
          <w:p w:rsidR="00000000" w:rsidRDefault="00657A20">
            <w:pPr>
              <w:rPr>
                <w:b/>
              </w:rPr>
            </w:pPr>
            <w:r>
              <w:rPr>
                <w:b/>
              </w:rPr>
              <w:t>Hydrogen Peroxide Concentration</w:t>
            </w:r>
          </w:p>
          <w:p w:rsidR="00000000" w:rsidRDefault="00657A20">
            <w:pPr>
              <w:rPr>
                <w:b/>
              </w:rPr>
            </w:pPr>
            <w:r>
              <w:rPr>
                <w:b/>
              </w:rPr>
              <w:t>(Manufacture’s Reagent Purity)</w:t>
            </w:r>
          </w:p>
        </w:tc>
        <w:tc>
          <w:tcPr>
            <w:tcW w:w="2970" w:type="dxa"/>
          </w:tcPr>
          <w:p w:rsidR="00000000" w:rsidRDefault="00657A20">
            <w:pPr>
              <w:rPr>
                <w:b/>
              </w:rPr>
            </w:pPr>
            <w:r>
              <w:rPr>
                <w:b/>
              </w:rPr>
              <w:t>30.5+/-1.5%</w:t>
            </w:r>
          </w:p>
        </w:tc>
        <w:tc>
          <w:tcPr>
            <w:tcW w:w="1350" w:type="dxa"/>
          </w:tcPr>
          <w:p w:rsidR="00000000" w:rsidRDefault="00657A20">
            <w:pPr>
              <w:rPr>
                <w:b/>
              </w:rPr>
            </w:pPr>
            <w:r>
              <w:rPr>
                <w:b/>
              </w:rPr>
              <w:t>Type B</w:t>
            </w:r>
          </w:p>
        </w:tc>
        <w:tc>
          <w:tcPr>
            <w:tcW w:w="1530" w:type="dxa"/>
          </w:tcPr>
          <w:p w:rsidR="00000000" w:rsidRDefault="00657A20">
            <w:pPr>
              <w:rPr>
                <w:b/>
              </w:rPr>
            </w:pPr>
            <w:r>
              <w:rPr>
                <w:b/>
              </w:rPr>
              <w:t>Rectangular</w:t>
            </w:r>
          </w:p>
          <w:p w:rsidR="00000000" w:rsidRDefault="00657A20">
            <w:pPr>
              <w:rPr>
                <w:b/>
              </w:rPr>
            </w:pPr>
          </w:p>
        </w:tc>
      </w:tr>
      <w:tr w:rsidR="00000000">
        <w:tblPrEx>
          <w:tblCellMar>
            <w:top w:w="0" w:type="dxa"/>
            <w:bottom w:w="0" w:type="dxa"/>
          </w:tblCellMar>
        </w:tblPrEx>
        <w:tc>
          <w:tcPr>
            <w:tcW w:w="3708" w:type="dxa"/>
          </w:tcPr>
          <w:p w:rsidR="00000000" w:rsidRDefault="00657A20">
            <w:pPr>
              <w:rPr>
                <w:b/>
              </w:rPr>
            </w:pPr>
            <w:r>
              <w:rPr>
                <w:b/>
              </w:rPr>
              <w:t>Hydrochloric Acid Volume</w:t>
            </w:r>
          </w:p>
          <w:p w:rsidR="00000000" w:rsidRDefault="00657A20">
            <w:pPr>
              <w:rPr>
                <w:b/>
              </w:rPr>
            </w:pPr>
            <w:r>
              <w:rPr>
                <w:b/>
              </w:rPr>
              <w:t>(Transfer Pipette)</w:t>
            </w:r>
          </w:p>
        </w:tc>
        <w:tc>
          <w:tcPr>
            <w:tcW w:w="2970" w:type="dxa"/>
          </w:tcPr>
          <w:p w:rsidR="00000000" w:rsidRDefault="00657A20">
            <w:pPr>
              <w:rPr>
                <w:b/>
              </w:rPr>
            </w:pPr>
            <w:r>
              <w:rPr>
                <w:b/>
              </w:rPr>
              <w:t>10+/-1 mL</w:t>
            </w:r>
          </w:p>
        </w:tc>
        <w:tc>
          <w:tcPr>
            <w:tcW w:w="1350" w:type="dxa"/>
          </w:tcPr>
          <w:p w:rsidR="00000000" w:rsidRDefault="00657A20">
            <w:pPr>
              <w:rPr>
                <w:b/>
              </w:rPr>
            </w:pPr>
            <w:r>
              <w:rPr>
                <w:b/>
              </w:rPr>
              <w:t>Type B</w:t>
            </w:r>
          </w:p>
        </w:tc>
        <w:tc>
          <w:tcPr>
            <w:tcW w:w="1530" w:type="dxa"/>
          </w:tcPr>
          <w:p w:rsidR="00000000" w:rsidRDefault="00657A20">
            <w:pPr>
              <w:rPr>
                <w:b/>
              </w:rPr>
            </w:pPr>
            <w:r>
              <w:rPr>
                <w:b/>
              </w:rPr>
              <w:t>Triangular</w:t>
            </w:r>
          </w:p>
        </w:tc>
      </w:tr>
      <w:tr w:rsidR="00000000">
        <w:tblPrEx>
          <w:tblCellMar>
            <w:top w:w="0" w:type="dxa"/>
            <w:bottom w:w="0" w:type="dxa"/>
          </w:tblCellMar>
        </w:tblPrEx>
        <w:tc>
          <w:tcPr>
            <w:tcW w:w="3708" w:type="dxa"/>
          </w:tcPr>
          <w:p w:rsidR="00000000" w:rsidRDefault="00657A20">
            <w:pPr>
              <w:rPr>
                <w:b/>
              </w:rPr>
            </w:pPr>
            <w:r>
              <w:rPr>
                <w:b/>
              </w:rPr>
              <w:t>Hydroc</w:t>
            </w:r>
            <w:r>
              <w:rPr>
                <w:b/>
              </w:rPr>
              <w:t>hloric Acid Concentration</w:t>
            </w:r>
          </w:p>
          <w:p w:rsidR="00000000" w:rsidRDefault="00657A20">
            <w:pPr>
              <w:rPr>
                <w:b/>
              </w:rPr>
            </w:pPr>
            <w:r>
              <w:rPr>
                <w:b/>
              </w:rPr>
              <w:t>(Manufacture’s Reagent Purity)</w:t>
            </w:r>
          </w:p>
        </w:tc>
        <w:tc>
          <w:tcPr>
            <w:tcW w:w="2970" w:type="dxa"/>
          </w:tcPr>
          <w:p w:rsidR="00000000" w:rsidRDefault="00657A20">
            <w:pPr>
              <w:rPr>
                <w:b/>
              </w:rPr>
            </w:pPr>
            <w:r>
              <w:rPr>
                <w:b/>
              </w:rPr>
              <w:t>36.5+/-0.5%</w:t>
            </w:r>
          </w:p>
        </w:tc>
        <w:tc>
          <w:tcPr>
            <w:tcW w:w="1350" w:type="dxa"/>
          </w:tcPr>
          <w:p w:rsidR="00000000" w:rsidRDefault="00657A20">
            <w:pPr>
              <w:rPr>
                <w:b/>
              </w:rPr>
            </w:pPr>
            <w:r>
              <w:rPr>
                <w:b/>
              </w:rPr>
              <w:t>Type B</w:t>
            </w:r>
          </w:p>
        </w:tc>
        <w:tc>
          <w:tcPr>
            <w:tcW w:w="1530" w:type="dxa"/>
          </w:tcPr>
          <w:p w:rsidR="00000000" w:rsidRDefault="00657A20">
            <w:pPr>
              <w:rPr>
                <w:b/>
              </w:rPr>
            </w:pPr>
            <w:r>
              <w:rPr>
                <w:b/>
              </w:rPr>
              <w:t>Rectangular</w:t>
            </w:r>
          </w:p>
        </w:tc>
      </w:tr>
      <w:tr w:rsidR="00000000">
        <w:tblPrEx>
          <w:tblCellMar>
            <w:top w:w="0" w:type="dxa"/>
            <w:bottom w:w="0" w:type="dxa"/>
          </w:tblCellMar>
        </w:tblPrEx>
        <w:tc>
          <w:tcPr>
            <w:tcW w:w="3708" w:type="dxa"/>
          </w:tcPr>
          <w:p w:rsidR="00000000" w:rsidRDefault="00657A20">
            <w:pPr>
              <w:rPr>
                <w:b/>
              </w:rPr>
            </w:pPr>
            <w:r>
              <w:rPr>
                <w:b/>
              </w:rPr>
              <w:t xml:space="preserve">Extraction Efficiency </w:t>
            </w:r>
          </w:p>
          <w:p w:rsidR="00000000" w:rsidRDefault="00657A20">
            <w:pPr>
              <w:rPr>
                <w:b/>
              </w:rPr>
            </w:pPr>
            <w:r>
              <w:rPr>
                <w:b/>
              </w:rPr>
              <w:t>(Matrix Interference)</w:t>
            </w:r>
          </w:p>
        </w:tc>
        <w:tc>
          <w:tcPr>
            <w:tcW w:w="2970" w:type="dxa"/>
          </w:tcPr>
          <w:p w:rsidR="00000000" w:rsidRDefault="00657A20">
            <w:pPr>
              <w:rPr>
                <w:b/>
              </w:rPr>
            </w:pPr>
            <w:r>
              <w:rPr>
                <w:b/>
              </w:rPr>
              <w:t>96+/-2%</w:t>
            </w:r>
          </w:p>
        </w:tc>
        <w:tc>
          <w:tcPr>
            <w:tcW w:w="1350" w:type="dxa"/>
          </w:tcPr>
          <w:p w:rsidR="00000000" w:rsidRDefault="00657A20">
            <w:pPr>
              <w:rPr>
                <w:b/>
              </w:rPr>
            </w:pPr>
            <w:r>
              <w:rPr>
                <w:b/>
              </w:rPr>
              <w:t>Type B</w:t>
            </w:r>
          </w:p>
        </w:tc>
        <w:tc>
          <w:tcPr>
            <w:tcW w:w="1530" w:type="dxa"/>
          </w:tcPr>
          <w:p w:rsidR="00000000" w:rsidRDefault="00657A20">
            <w:pPr>
              <w:rPr>
                <w:b/>
              </w:rPr>
            </w:pPr>
            <w:r>
              <w:rPr>
                <w:b/>
              </w:rPr>
              <w:t>Triangular</w:t>
            </w:r>
          </w:p>
        </w:tc>
      </w:tr>
      <w:tr w:rsidR="00000000">
        <w:tblPrEx>
          <w:tblCellMar>
            <w:top w:w="0" w:type="dxa"/>
            <w:bottom w:w="0" w:type="dxa"/>
          </w:tblCellMar>
        </w:tblPrEx>
        <w:tc>
          <w:tcPr>
            <w:tcW w:w="3708" w:type="dxa"/>
          </w:tcPr>
          <w:p w:rsidR="00000000" w:rsidRDefault="00657A20">
            <w:pPr>
              <w:rPr>
                <w:b/>
              </w:rPr>
            </w:pPr>
            <w:r>
              <w:rPr>
                <w:b/>
              </w:rPr>
              <w:t>Quantitative Transfer Efficiency</w:t>
            </w:r>
          </w:p>
          <w:p w:rsidR="00000000" w:rsidRDefault="00657A20">
            <w:pPr>
              <w:rPr>
                <w:b/>
              </w:rPr>
            </w:pPr>
            <w:r>
              <w:rPr>
                <w:b/>
              </w:rPr>
              <w:t>(From Beaker to Graduated Cylinder)</w:t>
            </w:r>
          </w:p>
        </w:tc>
        <w:tc>
          <w:tcPr>
            <w:tcW w:w="2970" w:type="dxa"/>
          </w:tcPr>
          <w:p w:rsidR="00000000" w:rsidRDefault="00657A20">
            <w:pPr>
              <w:rPr>
                <w:b/>
              </w:rPr>
            </w:pPr>
            <w:r>
              <w:rPr>
                <w:b/>
              </w:rPr>
              <w:t>99.5+/-0.5%</w:t>
            </w:r>
          </w:p>
        </w:tc>
        <w:tc>
          <w:tcPr>
            <w:tcW w:w="1350" w:type="dxa"/>
          </w:tcPr>
          <w:p w:rsidR="00000000" w:rsidRDefault="00657A20">
            <w:pPr>
              <w:rPr>
                <w:b/>
              </w:rPr>
            </w:pPr>
            <w:r>
              <w:rPr>
                <w:b/>
              </w:rPr>
              <w:t>Type B</w:t>
            </w:r>
          </w:p>
        </w:tc>
        <w:tc>
          <w:tcPr>
            <w:tcW w:w="1530" w:type="dxa"/>
          </w:tcPr>
          <w:p w:rsidR="00000000" w:rsidRDefault="00657A20">
            <w:pPr>
              <w:rPr>
                <w:b/>
              </w:rPr>
            </w:pPr>
            <w:r>
              <w:rPr>
                <w:b/>
              </w:rPr>
              <w:t>Triangu</w:t>
            </w:r>
            <w:r>
              <w:rPr>
                <w:b/>
              </w:rPr>
              <w:t>lar</w:t>
            </w:r>
          </w:p>
        </w:tc>
      </w:tr>
      <w:tr w:rsidR="00000000">
        <w:tblPrEx>
          <w:tblCellMar>
            <w:top w:w="0" w:type="dxa"/>
            <w:bottom w:w="0" w:type="dxa"/>
          </w:tblCellMar>
        </w:tblPrEx>
        <w:tc>
          <w:tcPr>
            <w:tcW w:w="3708" w:type="dxa"/>
          </w:tcPr>
          <w:p w:rsidR="00000000" w:rsidRDefault="00657A20">
            <w:pPr>
              <w:rPr>
                <w:b/>
              </w:rPr>
            </w:pPr>
            <w:r>
              <w:rPr>
                <w:b/>
              </w:rPr>
              <w:t>Dilution Volume</w:t>
            </w:r>
          </w:p>
          <w:p w:rsidR="00000000" w:rsidRDefault="00657A20">
            <w:pPr>
              <w:rPr>
                <w:b/>
              </w:rPr>
            </w:pPr>
            <w:r>
              <w:rPr>
                <w:b/>
              </w:rPr>
              <w:t>(Graduated Cylinder)</w:t>
            </w:r>
          </w:p>
        </w:tc>
        <w:tc>
          <w:tcPr>
            <w:tcW w:w="2970" w:type="dxa"/>
          </w:tcPr>
          <w:p w:rsidR="00000000" w:rsidRDefault="00657A20">
            <w:pPr>
              <w:rPr>
                <w:b/>
              </w:rPr>
            </w:pPr>
            <w:r>
              <w:rPr>
                <w:b/>
              </w:rPr>
              <w:t>100+/-3 mL</w:t>
            </w:r>
          </w:p>
        </w:tc>
        <w:tc>
          <w:tcPr>
            <w:tcW w:w="1350" w:type="dxa"/>
          </w:tcPr>
          <w:p w:rsidR="00000000" w:rsidRDefault="00657A20">
            <w:pPr>
              <w:rPr>
                <w:b/>
              </w:rPr>
            </w:pPr>
            <w:r>
              <w:rPr>
                <w:b/>
              </w:rPr>
              <w:t>Type A</w:t>
            </w:r>
          </w:p>
        </w:tc>
        <w:tc>
          <w:tcPr>
            <w:tcW w:w="1530" w:type="dxa"/>
          </w:tcPr>
          <w:p w:rsidR="00000000" w:rsidRDefault="00657A20">
            <w:pPr>
              <w:rPr>
                <w:b/>
              </w:rPr>
            </w:pPr>
            <w:r>
              <w:rPr>
                <w:b/>
              </w:rPr>
              <w:t>Normal</w:t>
            </w:r>
          </w:p>
        </w:tc>
      </w:tr>
    </w:tbl>
    <w:p w:rsidR="00000000" w:rsidRDefault="00657A20">
      <w:pPr>
        <w:pStyle w:val="Caption"/>
      </w:pPr>
    </w:p>
    <w:p w:rsidR="00000000" w:rsidRDefault="00657A20">
      <w:pPr>
        <w:pStyle w:val="Caption"/>
      </w:pPr>
      <w:r>
        <w:lastRenderedPageBreak/>
        <w:t>EXPLANTIONS OF DISTRIBUTIONS FOR METHOD 3050B</w:t>
      </w:r>
    </w:p>
    <w:p w:rsidR="00000000" w:rsidRDefault="00657A20"/>
    <w:p w:rsidR="00000000" w:rsidRDefault="00657A20">
      <w:pPr>
        <w:pStyle w:val="Caption"/>
        <w:rPr>
          <w:u w:val="single"/>
        </w:rPr>
      </w:pPr>
      <w:r>
        <w:rPr>
          <w:u w:val="single"/>
        </w:rPr>
        <w:t>Normal Distribution</w:t>
      </w:r>
    </w:p>
    <w:p w:rsidR="00000000" w:rsidRDefault="00657A20"/>
    <w:p w:rsidR="00000000" w:rsidRDefault="00657A20">
      <w:pPr>
        <w:pStyle w:val="BodyText"/>
      </w:pPr>
      <w:r>
        <w:t>The normal distribution is usually determined statistically.  The normal distribution is based on the central limit the</w:t>
      </w:r>
      <w:r>
        <w:t xml:space="preserve">orem where random sampling results in a normal distribution of data regardless of the underlying distribution of the quantity measured. </w:t>
      </w:r>
    </w:p>
    <w:p w:rsidR="00000000" w:rsidRDefault="00657A20">
      <w:pPr>
        <w:pStyle w:val="Caption"/>
      </w:pPr>
    </w:p>
    <w:p w:rsidR="00000000" w:rsidRDefault="00657A20">
      <w:pPr>
        <w:pStyle w:val="Caption"/>
        <w:rPr>
          <w:i/>
          <w:iCs/>
          <w:sz w:val="20"/>
        </w:rPr>
      </w:pPr>
      <w:r>
        <w:rPr>
          <w:i/>
          <w:iCs/>
          <w:sz w:val="20"/>
        </w:rPr>
        <w:t>S = a/3 or approximately 0.33 a</w:t>
      </w:r>
    </w:p>
    <w:p w:rsidR="00000000" w:rsidRDefault="00657A20">
      <w:pPr>
        <w:rPr>
          <w:sz w:val="24"/>
        </w:rPr>
      </w:pPr>
    </w:p>
    <w:p w:rsidR="00000000" w:rsidRDefault="00657A20">
      <w:pPr>
        <w:pStyle w:val="Heading1"/>
        <w:rPr>
          <w:b w:val="0"/>
          <w:bCs w:val="0"/>
          <w:u w:val="none"/>
        </w:rPr>
      </w:pPr>
      <w:r>
        <w:rPr>
          <w:b w:val="0"/>
          <w:bCs w:val="0"/>
          <w:u w:val="none"/>
        </w:rPr>
        <w:t xml:space="preserve">Where </w:t>
      </w:r>
      <w:r>
        <w:rPr>
          <w:i/>
          <w:iCs/>
          <w:u w:val="none"/>
        </w:rPr>
        <w:t>S</w:t>
      </w:r>
      <w:r>
        <w:rPr>
          <w:b w:val="0"/>
          <w:bCs w:val="0"/>
          <w:u w:val="none"/>
        </w:rPr>
        <w:t xml:space="preserve"> is the standard deviation and </w:t>
      </w:r>
      <w:r>
        <w:rPr>
          <w:i/>
          <w:iCs/>
          <w:u w:val="none"/>
        </w:rPr>
        <w:t>a</w:t>
      </w:r>
      <w:r>
        <w:rPr>
          <w:b w:val="0"/>
          <w:bCs w:val="0"/>
          <w:u w:val="none"/>
        </w:rPr>
        <w:t xml:space="preserve"> is ½ the range of values.</w:t>
      </w:r>
    </w:p>
    <w:p w:rsidR="00000000" w:rsidRDefault="00657A20">
      <w:pPr>
        <w:pStyle w:val="Heading1"/>
      </w:pPr>
    </w:p>
    <w:p w:rsidR="00000000" w:rsidRDefault="00657A20">
      <w:pPr>
        <w:pStyle w:val="Heading1"/>
      </w:pPr>
      <w:r>
        <w:t>Triangular Distrib</w:t>
      </w:r>
      <w:r>
        <w:t>ution</w:t>
      </w:r>
    </w:p>
    <w:p w:rsidR="00000000" w:rsidRDefault="00657A20">
      <w:pPr>
        <w:pStyle w:val="Header"/>
        <w:tabs>
          <w:tab w:val="clear" w:pos="4320"/>
          <w:tab w:val="clear" w:pos="8640"/>
        </w:tabs>
      </w:pPr>
    </w:p>
    <w:p w:rsidR="00000000" w:rsidRDefault="00657A20">
      <w:pPr>
        <w:rPr>
          <w:sz w:val="24"/>
        </w:rPr>
      </w:pPr>
      <w:r>
        <w:rPr>
          <w:sz w:val="24"/>
        </w:rPr>
        <w:t>The triangular is more conservative than normal. The triangular is used when the variation limits are known (lowest and highest), and it is known that it is a better probability (most likely) of finding values close to the mean value that further aw</w:t>
      </w:r>
      <w:r>
        <w:rPr>
          <w:sz w:val="24"/>
        </w:rPr>
        <w:t>ay from it.</w:t>
      </w:r>
    </w:p>
    <w:p w:rsidR="00000000" w:rsidRDefault="00657A20">
      <w:pPr>
        <w:rPr>
          <w:sz w:val="24"/>
        </w:rPr>
      </w:pPr>
    </w:p>
    <w:p w:rsidR="00000000" w:rsidRDefault="00657A20">
      <w:pPr>
        <w:rPr>
          <w:b/>
          <w:i/>
          <w:iCs/>
        </w:rPr>
      </w:pPr>
      <w:r>
        <w:rPr>
          <w:b/>
          <w:i/>
          <w:iCs/>
        </w:rPr>
        <w:t>S = a/(6)</w:t>
      </w:r>
      <w:r>
        <w:rPr>
          <w:b/>
          <w:i/>
          <w:iCs/>
          <w:vertAlign w:val="superscript"/>
        </w:rPr>
        <w:t>0.5</w:t>
      </w:r>
      <w:r>
        <w:rPr>
          <w:b/>
          <w:i/>
          <w:iCs/>
        </w:rPr>
        <w:t xml:space="preserve"> or approximately 0.41 a</w:t>
      </w:r>
    </w:p>
    <w:p w:rsidR="00000000" w:rsidRDefault="00657A20">
      <w:pPr>
        <w:rPr>
          <w:sz w:val="24"/>
        </w:rPr>
      </w:pPr>
    </w:p>
    <w:p w:rsidR="00000000" w:rsidRDefault="00657A20">
      <w:pPr>
        <w:pStyle w:val="Heading1"/>
      </w:pPr>
      <w:r>
        <w:t>Rectangular Distribution</w:t>
      </w:r>
    </w:p>
    <w:p w:rsidR="00000000" w:rsidRDefault="00657A20">
      <w:pPr>
        <w:rPr>
          <w:sz w:val="24"/>
        </w:rPr>
      </w:pPr>
    </w:p>
    <w:p w:rsidR="00000000" w:rsidRDefault="00657A20">
      <w:pPr>
        <w:rPr>
          <w:sz w:val="24"/>
        </w:rPr>
      </w:pPr>
      <w:r>
        <w:rPr>
          <w:sz w:val="24"/>
        </w:rPr>
        <w:t xml:space="preserve">Rectangular is more conservative than the triangular. The upper and lower bounds of range of data is estimated, but the distribution is not known so all results are assumed to be </w:t>
      </w:r>
      <w:r>
        <w:rPr>
          <w:sz w:val="24"/>
        </w:rPr>
        <w:t>equally likely. For example, the throw of a dice has a rectangular distribution.  1, 2, 3, 4, 5,and 6 are equally likely and the probability is 1/6 or 0.167 that 1 to 6 will occur. There is a zero probability that &lt;1 or &gt;6 will occur. It is often used when</w:t>
      </w:r>
      <w:r>
        <w:rPr>
          <w:sz w:val="24"/>
        </w:rPr>
        <w:t xml:space="preserve"> information is derived from calibration certificates and manufacturer’s specifications. </w:t>
      </w:r>
    </w:p>
    <w:p w:rsidR="00000000" w:rsidRDefault="00657A20">
      <w:pPr>
        <w:rPr>
          <w:sz w:val="24"/>
        </w:rPr>
      </w:pPr>
    </w:p>
    <w:p w:rsidR="00000000" w:rsidRDefault="00657A20">
      <w:pPr>
        <w:rPr>
          <w:b/>
          <w:i/>
          <w:iCs/>
        </w:rPr>
      </w:pPr>
      <w:r>
        <w:rPr>
          <w:b/>
          <w:i/>
          <w:iCs/>
        </w:rPr>
        <w:t>S = a/(3)</w:t>
      </w:r>
      <w:r>
        <w:rPr>
          <w:b/>
          <w:i/>
          <w:iCs/>
          <w:vertAlign w:val="superscript"/>
        </w:rPr>
        <w:t>0.5</w:t>
      </w:r>
      <w:r>
        <w:rPr>
          <w:b/>
          <w:i/>
          <w:iCs/>
        </w:rPr>
        <w:t xml:space="preserve"> or approximately 0.58 a </w:t>
      </w:r>
    </w:p>
    <w:p w:rsidR="00000000" w:rsidRDefault="00657A20">
      <w:pPr>
        <w:rPr>
          <w:b/>
          <w:sz w:val="24"/>
        </w:rPr>
      </w:pPr>
    </w:p>
    <w:p w:rsidR="00000000" w:rsidRDefault="00657A20">
      <w:pPr>
        <w:rPr>
          <w:b/>
          <w:sz w:val="24"/>
          <w:u w:val="single"/>
        </w:rPr>
      </w:pPr>
      <w:r>
        <w:rPr>
          <w:b/>
          <w:sz w:val="24"/>
          <w:u w:val="single"/>
        </w:rPr>
        <w:t>U-shaped Distribution (Sine Wave)</w:t>
      </w:r>
    </w:p>
    <w:p w:rsidR="00000000" w:rsidRDefault="00657A20">
      <w:pPr>
        <w:rPr>
          <w:sz w:val="24"/>
        </w:rPr>
      </w:pPr>
    </w:p>
    <w:p w:rsidR="00000000" w:rsidRDefault="00657A20">
      <w:pPr>
        <w:rPr>
          <w:sz w:val="24"/>
        </w:rPr>
      </w:pPr>
      <w:r>
        <w:rPr>
          <w:sz w:val="24"/>
        </w:rPr>
        <w:t>U-shaped is more conservative than rectangular and the U-shaped returns a higher equivalent</w:t>
      </w:r>
      <w:r>
        <w:rPr>
          <w:sz w:val="24"/>
        </w:rPr>
        <w:t xml:space="preserve"> standard deviation value for the same variation width, +/- a.  U-shaped distribution is not as rare as it seems.  Cyclic events, such as temperature of a hot plate, oven, or furnace, often yield uncertainty contributors that fall into this sine-wave patte</w:t>
      </w:r>
      <w:r>
        <w:rPr>
          <w:sz w:val="24"/>
        </w:rPr>
        <w:t>rn. Another example is the power cycle of a microwave digestion system.   If we assume that the amplitude of the signal is sinusoidal, the distribution for incident voltage is the U-shaped distribution.  There is a better probability of finding values clos</w:t>
      </w:r>
      <w:r>
        <w:rPr>
          <w:sz w:val="24"/>
        </w:rPr>
        <w:t>e to the variation limits than around the mean value.</w:t>
      </w:r>
    </w:p>
    <w:p w:rsidR="00000000" w:rsidRDefault="00657A20">
      <w:pPr>
        <w:rPr>
          <w:sz w:val="24"/>
        </w:rPr>
      </w:pPr>
      <w:r>
        <w:rPr>
          <w:sz w:val="24"/>
        </w:rPr>
        <w:t xml:space="preserve"> </w:t>
      </w:r>
    </w:p>
    <w:p w:rsidR="00000000" w:rsidRDefault="00657A20">
      <w:pPr>
        <w:rPr>
          <w:b/>
          <w:i/>
          <w:iCs/>
        </w:rPr>
      </w:pPr>
      <w:r>
        <w:rPr>
          <w:b/>
          <w:i/>
          <w:iCs/>
        </w:rPr>
        <w:t>S = a/(2)</w:t>
      </w:r>
      <w:r>
        <w:rPr>
          <w:b/>
          <w:i/>
          <w:iCs/>
          <w:vertAlign w:val="superscript"/>
        </w:rPr>
        <w:t>0.5</w:t>
      </w:r>
      <w:r>
        <w:rPr>
          <w:b/>
          <w:i/>
          <w:iCs/>
        </w:rPr>
        <w:t xml:space="preserve"> or approximately 0.71 a</w:t>
      </w:r>
    </w:p>
    <w:p w:rsidR="00000000" w:rsidRDefault="00657A20">
      <w:pPr>
        <w:rPr>
          <w:sz w:val="24"/>
        </w:rPr>
      </w:pPr>
    </w:p>
    <w:p w:rsidR="00000000" w:rsidRDefault="00657A20">
      <w:pPr>
        <w:rPr>
          <w:sz w:val="24"/>
        </w:rPr>
      </w:pPr>
    </w:p>
    <w:p w:rsidR="00000000" w:rsidRDefault="00657A20">
      <w:pPr>
        <w:rPr>
          <w:b/>
          <w:bCs/>
          <w:sz w:val="24"/>
        </w:rPr>
      </w:pPr>
      <w:r>
        <w:rPr>
          <w:sz w:val="24"/>
        </w:rPr>
        <w:br w:type="page"/>
      </w:r>
      <w:r>
        <w:rPr>
          <w:b/>
          <w:bCs/>
          <w:sz w:val="24"/>
        </w:rPr>
        <w:lastRenderedPageBreak/>
        <w:t>APPENDIX D: QC-BASED NESTED APPROACH FOR ESTIMATING ANALYTICAL MEASUREMENT UNCERTAINTY EXAMPLE SPREADSHEET</w:t>
      </w:r>
    </w:p>
    <w:p w:rsidR="00000000" w:rsidRDefault="00657A20">
      <w:pPr>
        <w:rPr>
          <w:sz w:val="24"/>
        </w:rPr>
      </w:pPr>
    </w:p>
    <w:p w:rsidR="00000000" w:rsidRDefault="00657A20">
      <w:pPr>
        <w:pStyle w:val="Heading2"/>
        <w:widowControl/>
        <w:tabs>
          <w:tab w:val="clear" w:pos="3616"/>
        </w:tabs>
        <w:autoSpaceDE/>
        <w:autoSpaceDN/>
        <w:adjustRightInd/>
        <w:rPr>
          <w:bCs/>
        </w:rPr>
      </w:pPr>
      <w:r>
        <w:rPr>
          <w:bCs/>
        </w:rPr>
        <w:t>D-1: Page 1</w:t>
      </w:r>
    </w:p>
    <w:p w:rsidR="00000000" w:rsidRDefault="00657A20">
      <w:pPr>
        <w:rPr>
          <w:sz w:val="24"/>
        </w:rPr>
      </w:pPr>
    </w:p>
    <w:p w:rsidR="00000000" w:rsidRDefault="00657A20">
      <w:pPr>
        <w:ind w:left="1440" w:hanging="720"/>
        <w:rPr>
          <w:sz w:val="24"/>
        </w:rPr>
      </w:pPr>
      <w:r>
        <w:rPr>
          <w:sz w:val="24"/>
        </w:rPr>
        <w:t>D1.1    The analyte of interest, sample</w:t>
      </w:r>
      <w:r>
        <w:rPr>
          <w:sz w:val="24"/>
        </w:rPr>
        <w:t xml:space="preserve"> matrix, and analytical technology is entered as “Copper in Wastewater by ICP”.</w:t>
      </w:r>
    </w:p>
    <w:p w:rsidR="00000000" w:rsidRDefault="00657A20">
      <w:pPr>
        <w:ind w:left="1440" w:hanging="720"/>
        <w:rPr>
          <w:sz w:val="24"/>
        </w:rPr>
      </w:pPr>
    </w:p>
    <w:p w:rsidR="00000000" w:rsidRDefault="00657A20">
      <w:pPr>
        <w:ind w:left="1440" w:hanging="720"/>
        <w:rPr>
          <w:sz w:val="24"/>
        </w:rPr>
      </w:pPr>
      <w:r>
        <w:rPr>
          <w:noProof/>
        </w:rPr>
        <w:pict>
          <v:shape id="_x0000_s1032" type="#_x0000_t75" style="position:absolute;left:0;text-align:left;margin-left:4.05pt;margin-top:38.3pt;width:459pt;height:318.5pt;z-index:251656704;mso-wrap-distance-left:0;mso-wrap-distance-right:0" fillcolor="#fcab40" strokecolor="#eaeaea">
            <v:fill color2="#00007a"/>
            <v:imagedata r:id="rId103" o:title=""/>
            <v:shadow color="#000054"/>
            <w10:wrap type="topAndBottom"/>
          </v:shape>
          <o:OLEObject Type="Embed" ProgID="Excel.Sheet.8" ShapeID="_x0000_s1032" DrawAspect="Content" ObjectID="_1742211831" r:id="rId104"/>
        </w:pict>
      </w:r>
      <w:r>
        <w:rPr>
          <w:sz w:val="24"/>
        </w:rPr>
        <w:t>D1.2    For the ICS, ICV, LCS, and MIS, 20 replicate analytical measurement results are entered.</w:t>
      </w:r>
    </w:p>
    <w:p w:rsidR="00000000" w:rsidRDefault="00657A20">
      <w:pPr>
        <w:ind w:left="1440" w:hanging="720"/>
        <w:rPr>
          <w:sz w:val="24"/>
        </w:rPr>
      </w:pPr>
    </w:p>
    <w:p w:rsidR="00000000" w:rsidRDefault="00657A20">
      <w:pPr>
        <w:ind w:left="1440" w:hanging="720"/>
        <w:rPr>
          <w:sz w:val="24"/>
        </w:rPr>
      </w:pPr>
    </w:p>
    <w:p w:rsidR="00000000" w:rsidRDefault="00657A20">
      <w:pPr>
        <w:rPr>
          <w:b/>
          <w:bCs/>
          <w:sz w:val="24"/>
        </w:rPr>
      </w:pPr>
      <w:r>
        <w:rPr>
          <w:sz w:val="24"/>
        </w:rPr>
        <w:br w:type="page"/>
      </w:r>
      <w:r>
        <w:rPr>
          <w:b/>
          <w:bCs/>
          <w:sz w:val="24"/>
        </w:rPr>
        <w:lastRenderedPageBreak/>
        <w:t>D-2: Page 2</w:t>
      </w:r>
    </w:p>
    <w:p w:rsidR="00000000" w:rsidRDefault="00657A20">
      <w:pPr>
        <w:rPr>
          <w:sz w:val="24"/>
        </w:rPr>
      </w:pPr>
    </w:p>
    <w:p w:rsidR="00000000" w:rsidRDefault="00657A20">
      <w:pPr>
        <w:tabs>
          <w:tab w:val="left" w:pos="720"/>
        </w:tabs>
        <w:ind w:left="1440" w:hanging="720"/>
        <w:rPr>
          <w:sz w:val="24"/>
        </w:rPr>
      </w:pPr>
      <w:r>
        <w:rPr>
          <w:sz w:val="24"/>
        </w:rPr>
        <w:t xml:space="preserve">D-2.1  The confidence level is selected from: 80%, 90%, 95%, </w:t>
      </w:r>
      <w:r>
        <w:rPr>
          <w:sz w:val="24"/>
        </w:rPr>
        <w:t>and 99%.</w:t>
      </w:r>
    </w:p>
    <w:p w:rsidR="00000000" w:rsidRDefault="00657A20">
      <w:pPr>
        <w:tabs>
          <w:tab w:val="left" w:pos="720"/>
        </w:tabs>
        <w:ind w:left="1440" w:hanging="720"/>
        <w:rPr>
          <w:sz w:val="24"/>
        </w:rPr>
      </w:pPr>
    </w:p>
    <w:p w:rsidR="00000000" w:rsidRDefault="00657A20">
      <w:pPr>
        <w:tabs>
          <w:tab w:val="left" w:pos="720"/>
        </w:tabs>
        <w:ind w:left="1440" w:hanging="720"/>
        <w:rPr>
          <w:sz w:val="24"/>
        </w:rPr>
      </w:pPr>
      <w:r>
        <w:rPr>
          <w:sz w:val="24"/>
        </w:rPr>
        <w:t>D-2.2  The confidence level is entered as “95”.</w:t>
      </w:r>
    </w:p>
    <w:p w:rsidR="00000000" w:rsidRDefault="00657A20">
      <w:pPr>
        <w:pStyle w:val="Header"/>
        <w:tabs>
          <w:tab w:val="clear" w:pos="4320"/>
          <w:tab w:val="clear" w:pos="8640"/>
          <w:tab w:val="left" w:pos="1440"/>
        </w:tabs>
        <w:rPr>
          <w:noProof/>
          <w:sz w:val="24"/>
        </w:rPr>
      </w:pPr>
      <w:r>
        <w:rPr>
          <w:noProof/>
        </w:rPr>
        <w:pict>
          <v:shape id="_x0000_s1030" type="#_x0000_t75" style="position:absolute;margin-left:-4.95pt;margin-top:23.6pt;width:477pt;height:337.3pt;z-index:251654656;mso-wrap-distance-left:0;mso-wrap-distance-right:0" fillcolor="#fcab40" strokecolor="#eaeaea">
            <v:fill color2="#00007a"/>
            <v:imagedata r:id="rId105" o:title=""/>
            <v:shadow color="#000054"/>
            <w10:wrap type="topAndBottom"/>
          </v:shape>
          <o:OLEObject Type="Embed" ProgID="Excel.Sheet.8" ShapeID="_x0000_s1030" DrawAspect="Content" ObjectID="_1742211832" r:id="rId106"/>
        </w:pict>
      </w:r>
    </w:p>
    <w:p w:rsidR="00000000" w:rsidRDefault="00657A20">
      <w:pPr>
        <w:rPr>
          <w:sz w:val="24"/>
        </w:rPr>
      </w:pPr>
    </w:p>
    <w:p w:rsidR="00000000" w:rsidRDefault="00657A20">
      <w:pPr>
        <w:rPr>
          <w:sz w:val="24"/>
        </w:rPr>
      </w:pPr>
    </w:p>
    <w:p w:rsidR="00000000" w:rsidRDefault="00657A20">
      <w:pPr>
        <w:rPr>
          <w:sz w:val="24"/>
        </w:rPr>
      </w:pPr>
    </w:p>
    <w:p w:rsidR="00000000" w:rsidRDefault="00657A20">
      <w:pPr>
        <w:rPr>
          <w:b/>
          <w:bCs/>
          <w:sz w:val="24"/>
        </w:rPr>
      </w:pPr>
      <w:r>
        <w:rPr>
          <w:sz w:val="24"/>
        </w:rPr>
        <w:br w:type="page"/>
      </w:r>
      <w:r>
        <w:rPr>
          <w:b/>
          <w:bCs/>
          <w:sz w:val="24"/>
        </w:rPr>
        <w:lastRenderedPageBreak/>
        <w:t>D-3: Page 3</w:t>
      </w:r>
    </w:p>
    <w:p w:rsidR="00000000" w:rsidRDefault="00657A20">
      <w:pPr>
        <w:tabs>
          <w:tab w:val="left" w:pos="1005"/>
        </w:tabs>
        <w:ind w:left="1440" w:hanging="720"/>
        <w:rPr>
          <w:sz w:val="24"/>
        </w:rPr>
      </w:pPr>
      <w:r>
        <w:rPr>
          <w:sz w:val="24"/>
        </w:rPr>
        <w:tab/>
      </w:r>
    </w:p>
    <w:p w:rsidR="00000000" w:rsidRDefault="00657A20">
      <w:pPr>
        <w:tabs>
          <w:tab w:val="left" w:pos="1005"/>
        </w:tabs>
        <w:ind w:left="1440" w:hanging="720"/>
        <w:rPr>
          <w:sz w:val="24"/>
        </w:rPr>
      </w:pPr>
      <w:r>
        <w:rPr>
          <w:sz w:val="24"/>
        </w:rPr>
        <w:t xml:space="preserve">D-3.1  The analytical measurement result is entered as “10”. </w:t>
      </w:r>
    </w:p>
    <w:p w:rsidR="00000000" w:rsidRDefault="00657A20">
      <w:pPr>
        <w:tabs>
          <w:tab w:val="left" w:pos="1005"/>
        </w:tabs>
        <w:ind w:left="1440" w:hanging="720"/>
        <w:rPr>
          <w:sz w:val="24"/>
        </w:rPr>
      </w:pPr>
    </w:p>
    <w:p w:rsidR="00000000" w:rsidRDefault="00657A20">
      <w:pPr>
        <w:tabs>
          <w:tab w:val="left" w:pos="1005"/>
        </w:tabs>
        <w:ind w:left="1440" w:hanging="720"/>
        <w:rPr>
          <w:sz w:val="24"/>
        </w:rPr>
      </w:pPr>
      <w:r>
        <w:rPr>
          <w:noProof/>
        </w:rPr>
        <w:pict>
          <v:shape id="_x0000_s1031" type="#_x0000_t75" style="position:absolute;left:0;text-align:left;margin-left:4.05pt;margin-top:25pt;width:463.35pt;height:334.1pt;z-index:251655680;mso-wrap-distance-left:0;mso-wrap-distance-right:0" fillcolor="#fcab40" strokecolor="#eaeaea">
            <v:fill color2="#00007a"/>
            <v:imagedata r:id="rId107" o:title=""/>
            <v:shadow color="#000054"/>
            <w10:wrap type="topAndBottom"/>
          </v:shape>
          <o:OLEObject Type="Embed" ProgID="Excel.Sheet.8" ShapeID="_x0000_s1031" DrawAspect="Content" ObjectID="_1742211833" r:id="rId108"/>
        </w:pict>
      </w:r>
      <w:r>
        <w:rPr>
          <w:sz w:val="24"/>
        </w:rPr>
        <w:t>D-3.2  The units are entered as “mg/L”.</w:t>
      </w:r>
      <w:r>
        <w:rPr>
          <w:sz w:val="24"/>
        </w:rPr>
        <w:br/>
      </w:r>
    </w:p>
    <w:p w:rsidR="00000000" w:rsidRDefault="00657A20">
      <w:pPr>
        <w:rPr>
          <w:sz w:val="24"/>
        </w:rPr>
      </w:pPr>
    </w:p>
    <w:p w:rsidR="00000000" w:rsidRDefault="00657A20">
      <w:pPr>
        <w:rPr>
          <w:sz w:val="24"/>
        </w:rPr>
      </w:pPr>
    </w:p>
    <w:p w:rsidR="00000000" w:rsidRDefault="00657A20">
      <w:pPr>
        <w:rPr>
          <w:sz w:val="24"/>
        </w:rPr>
      </w:pPr>
    </w:p>
    <w:p w:rsidR="00000000" w:rsidRDefault="00657A20">
      <w:pPr>
        <w:rPr>
          <w:b/>
          <w:bCs/>
          <w:sz w:val="24"/>
        </w:rPr>
      </w:pPr>
      <w:r>
        <w:rPr>
          <w:sz w:val="24"/>
        </w:rPr>
        <w:br w:type="page"/>
      </w:r>
      <w:r>
        <w:rPr>
          <w:b/>
          <w:bCs/>
          <w:sz w:val="24"/>
        </w:rPr>
        <w:lastRenderedPageBreak/>
        <w:t>APPENDIX E: SOFTWARE VALIDATION BASED ON DATA IN APPENDIX D</w:t>
      </w:r>
    </w:p>
    <w:p w:rsidR="00000000" w:rsidRDefault="00657A20">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8"/>
        <w:gridCol w:w="1368"/>
        <w:gridCol w:w="1368"/>
        <w:gridCol w:w="1368"/>
        <w:gridCol w:w="1368"/>
        <w:gridCol w:w="1368"/>
        <w:gridCol w:w="1368"/>
      </w:tblGrid>
      <w:tr w:rsidR="00000000">
        <w:tblPrEx>
          <w:tblCellMar>
            <w:top w:w="0" w:type="dxa"/>
            <w:bottom w:w="0" w:type="dxa"/>
          </w:tblCellMar>
        </w:tblPrEx>
        <w:trPr>
          <w:cantSplit/>
        </w:trPr>
        <w:tc>
          <w:tcPr>
            <w:tcW w:w="1368" w:type="dxa"/>
            <w:vMerge w:val="restart"/>
          </w:tcPr>
          <w:p w:rsidR="00000000" w:rsidRDefault="00657A20">
            <w:pPr>
              <w:jc w:val="center"/>
              <w:rPr>
                <w:b/>
                <w:bCs/>
                <w:sz w:val="24"/>
              </w:rPr>
            </w:pPr>
            <w:r>
              <w:rPr>
                <w:b/>
                <w:bCs/>
                <w:sz w:val="24"/>
              </w:rPr>
              <w:t>Replicat</w:t>
            </w:r>
            <w:r>
              <w:rPr>
                <w:b/>
                <w:bCs/>
                <w:sz w:val="24"/>
              </w:rPr>
              <w:t>e Number</w:t>
            </w:r>
          </w:p>
        </w:tc>
        <w:tc>
          <w:tcPr>
            <w:tcW w:w="4104" w:type="dxa"/>
            <w:gridSpan w:val="3"/>
          </w:tcPr>
          <w:p w:rsidR="00000000" w:rsidRDefault="00657A20">
            <w:pPr>
              <w:jc w:val="center"/>
              <w:rPr>
                <w:b/>
                <w:bCs/>
                <w:sz w:val="24"/>
              </w:rPr>
            </w:pPr>
            <w:r>
              <w:rPr>
                <w:b/>
                <w:bCs/>
                <w:sz w:val="24"/>
              </w:rPr>
              <w:t>ICS</w:t>
            </w:r>
          </w:p>
        </w:tc>
        <w:tc>
          <w:tcPr>
            <w:tcW w:w="4104" w:type="dxa"/>
            <w:gridSpan w:val="3"/>
          </w:tcPr>
          <w:p w:rsidR="00000000" w:rsidRDefault="00657A20">
            <w:pPr>
              <w:pStyle w:val="Heading6"/>
            </w:pPr>
            <w:r>
              <w:t>ICV</w:t>
            </w:r>
          </w:p>
        </w:tc>
      </w:tr>
      <w:tr w:rsidR="00000000">
        <w:tblPrEx>
          <w:tblCellMar>
            <w:top w:w="0" w:type="dxa"/>
            <w:bottom w:w="0" w:type="dxa"/>
          </w:tblCellMar>
        </w:tblPrEx>
        <w:trPr>
          <w:cantSplit/>
        </w:trPr>
        <w:tc>
          <w:tcPr>
            <w:tcW w:w="1368" w:type="dxa"/>
            <w:vMerge/>
          </w:tcPr>
          <w:p w:rsidR="00000000" w:rsidRDefault="00657A20">
            <w:pPr>
              <w:jc w:val="center"/>
              <w:rPr>
                <w:sz w:val="24"/>
              </w:rPr>
            </w:pPr>
          </w:p>
        </w:tc>
        <w:tc>
          <w:tcPr>
            <w:tcW w:w="1368" w:type="dxa"/>
          </w:tcPr>
          <w:p w:rsidR="00000000" w:rsidRDefault="00657A20">
            <w:pPr>
              <w:jc w:val="center"/>
              <w:rPr>
                <w:b/>
                <w:bCs/>
                <w:i/>
                <w:iCs/>
                <w:sz w:val="22"/>
              </w:rPr>
            </w:pPr>
            <w:r>
              <w:rPr>
                <w:b/>
                <w:bCs/>
                <w:i/>
                <w:iCs/>
                <w:sz w:val="22"/>
              </w:rPr>
              <w:t>%D</w:t>
            </w:r>
          </w:p>
        </w:tc>
        <w:tc>
          <w:tcPr>
            <w:tcW w:w="1368" w:type="dxa"/>
          </w:tcPr>
          <w:p w:rsidR="00000000" w:rsidRDefault="00657A20">
            <w:pPr>
              <w:jc w:val="center"/>
              <w:rPr>
                <w:b/>
                <w:bCs/>
                <w:i/>
                <w:iCs/>
                <w:sz w:val="22"/>
              </w:rPr>
            </w:pPr>
            <w:r>
              <w:rPr>
                <w:b/>
                <w:bCs/>
                <w:i/>
                <w:iCs/>
                <w:sz w:val="22"/>
              </w:rPr>
              <w:t>%D -%</w:t>
            </w:r>
            <w:r>
              <w:rPr>
                <w:b/>
                <w:bCs/>
                <w:i/>
                <w:iCs/>
                <w:position w:val="-4"/>
                <w:sz w:val="22"/>
              </w:rPr>
              <w:object w:dxaOrig="260" w:dyaOrig="320">
                <v:shape id="_x0000_i1074" type="#_x0000_t75" style="width:12.75pt;height:15.75pt" o:ole="" fillcolor="window">
                  <v:imagedata r:id="rId25" o:title=""/>
                </v:shape>
                <o:OLEObject Type="Embed" ProgID="Equation.3" ShapeID="_x0000_i1074" DrawAspect="Content" ObjectID="_1742211808" r:id="rId109"/>
              </w:object>
            </w:r>
          </w:p>
        </w:tc>
        <w:tc>
          <w:tcPr>
            <w:tcW w:w="1368" w:type="dxa"/>
          </w:tcPr>
          <w:p w:rsidR="00000000" w:rsidRDefault="00657A20">
            <w:pPr>
              <w:jc w:val="center"/>
              <w:rPr>
                <w:b/>
                <w:bCs/>
                <w:i/>
                <w:iCs/>
                <w:sz w:val="22"/>
                <w:vertAlign w:val="superscript"/>
              </w:rPr>
            </w:pPr>
            <w:r>
              <w:rPr>
                <w:b/>
                <w:bCs/>
                <w:i/>
                <w:iCs/>
                <w:sz w:val="22"/>
              </w:rPr>
              <w:t>(%D-%</w:t>
            </w:r>
            <w:r>
              <w:rPr>
                <w:b/>
                <w:bCs/>
                <w:i/>
                <w:iCs/>
                <w:position w:val="-4"/>
                <w:sz w:val="22"/>
              </w:rPr>
              <w:object w:dxaOrig="260" w:dyaOrig="320">
                <v:shape id="_x0000_i1075" type="#_x0000_t75" style="width:12.75pt;height:15.75pt" o:ole="" fillcolor="window">
                  <v:imagedata r:id="rId25" o:title=""/>
                </v:shape>
                <o:OLEObject Type="Embed" ProgID="Equation.3" ShapeID="_x0000_i1075" DrawAspect="Content" ObjectID="_1742211809" r:id="rId110"/>
              </w:object>
            </w:r>
            <w:r>
              <w:rPr>
                <w:b/>
                <w:bCs/>
                <w:i/>
                <w:iCs/>
                <w:sz w:val="22"/>
              </w:rPr>
              <w:t>)</w:t>
            </w:r>
            <w:r>
              <w:rPr>
                <w:b/>
                <w:bCs/>
                <w:i/>
                <w:iCs/>
                <w:sz w:val="22"/>
                <w:vertAlign w:val="superscript"/>
              </w:rPr>
              <w:t>2</w:t>
            </w:r>
          </w:p>
        </w:tc>
        <w:tc>
          <w:tcPr>
            <w:tcW w:w="1368" w:type="dxa"/>
          </w:tcPr>
          <w:p w:rsidR="00000000" w:rsidRDefault="00657A20">
            <w:pPr>
              <w:jc w:val="center"/>
              <w:rPr>
                <w:b/>
                <w:bCs/>
                <w:i/>
                <w:iCs/>
                <w:sz w:val="22"/>
              </w:rPr>
            </w:pPr>
            <w:r>
              <w:rPr>
                <w:b/>
                <w:bCs/>
                <w:i/>
                <w:iCs/>
                <w:sz w:val="22"/>
              </w:rPr>
              <w:t>%D</w:t>
            </w:r>
          </w:p>
        </w:tc>
        <w:tc>
          <w:tcPr>
            <w:tcW w:w="1368" w:type="dxa"/>
          </w:tcPr>
          <w:p w:rsidR="00000000" w:rsidRDefault="00657A20">
            <w:pPr>
              <w:jc w:val="center"/>
              <w:rPr>
                <w:b/>
                <w:bCs/>
                <w:i/>
                <w:iCs/>
                <w:sz w:val="22"/>
              </w:rPr>
            </w:pPr>
            <w:r>
              <w:rPr>
                <w:b/>
                <w:bCs/>
                <w:i/>
                <w:iCs/>
                <w:sz w:val="22"/>
              </w:rPr>
              <w:t>%D -%</w:t>
            </w:r>
            <w:r>
              <w:rPr>
                <w:b/>
                <w:bCs/>
                <w:i/>
                <w:iCs/>
                <w:position w:val="-4"/>
                <w:sz w:val="22"/>
              </w:rPr>
              <w:object w:dxaOrig="260" w:dyaOrig="320">
                <v:shape id="_x0000_i1076" type="#_x0000_t75" style="width:12.75pt;height:15.75pt" o:ole="" fillcolor="window">
                  <v:imagedata r:id="rId25" o:title=""/>
                </v:shape>
                <o:OLEObject Type="Embed" ProgID="Equation.3" ShapeID="_x0000_i1076" DrawAspect="Content" ObjectID="_1742211810" r:id="rId111"/>
              </w:object>
            </w:r>
          </w:p>
        </w:tc>
        <w:tc>
          <w:tcPr>
            <w:tcW w:w="1368" w:type="dxa"/>
          </w:tcPr>
          <w:p w:rsidR="00000000" w:rsidRDefault="00657A20">
            <w:pPr>
              <w:jc w:val="center"/>
              <w:rPr>
                <w:b/>
                <w:bCs/>
                <w:i/>
                <w:iCs/>
                <w:sz w:val="22"/>
                <w:vertAlign w:val="superscript"/>
              </w:rPr>
            </w:pPr>
            <w:r>
              <w:rPr>
                <w:b/>
                <w:bCs/>
                <w:i/>
                <w:iCs/>
                <w:sz w:val="22"/>
              </w:rPr>
              <w:t>(%D-%</w:t>
            </w:r>
            <w:r>
              <w:rPr>
                <w:b/>
                <w:bCs/>
                <w:i/>
                <w:iCs/>
                <w:position w:val="-4"/>
                <w:sz w:val="22"/>
              </w:rPr>
              <w:object w:dxaOrig="260" w:dyaOrig="320">
                <v:shape id="_x0000_i1077" type="#_x0000_t75" style="width:12.75pt;height:15.75pt" o:ole="" fillcolor="window">
                  <v:imagedata r:id="rId25" o:title=""/>
                </v:shape>
                <o:OLEObject Type="Embed" ProgID="Equation.3" ShapeID="_x0000_i1077" DrawAspect="Content" ObjectID="_1742211811" r:id="rId112"/>
              </w:object>
            </w:r>
            <w:r>
              <w:rPr>
                <w:b/>
                <w:bCs/>
                <w:i/>
                <w:iCs/>
                <w:sz w:val="22"/>
              </w:rPr>
              <w:t>)</w:t>
            </w:r>
            <w:r>
              <w:rPr>
                <w:b/>
                <w:bCs/>
                <w:i/>
                <w:iCs/>
                <w:sz w:val="22"/>
                <w:vertAlign w:val="superscript"/>
              </w:rPr>
              <w:t>2</w:t>
            </w:r>
          </w:p>
        </w:tc>
      </w:tr>
      <w:tr w:rsidR="00000000">
        <w:tblPrEx>
          <w:tblCellMar>
            <w:top w:w="0" w:type="dxa"/>
            <w:bottom w:w="0" w:type="dxa"/>
          </w:tblCellMar>
        </w:tblPrEx>
        <w:tc>
          <w:tcPr>
            <w:tcW w:w="1368" w:type="dxa"/>
          </w:tcPr>
          <w:p w:rsidR="00000000" w:rsidRDefault="00657A20">
            <w:pPr>
              <w:jc w:val="center"/>
              <w:rPr>
                <w:b/>
                <w:bCs/>
              </w:rPr>
            </w:pPr>
            <w:r>
              <w:rPr>
                <w:b/>
                <w:bCs/>
              </w:rPr>
              <w:t>1</w:t>
            </w:r>
          </w:p>
        </w:tc>
        <w:tc>
          <w:tcPr>
            <w:tcW w:w="1368" w:type="dxa"/>
            <w:vAlign w:val="bottom"/>
          </w:tcPr>
          <w:p w:rsidR="00000000" w:rsidRDefault="00657A20">
            <w:pPr>
              <w:jc w:val="right"/>
              <w:rPr>
                <w:rFonts w:ascii="Arial" w:hAnsi="Arial" w:cs="Arial"/>
                <w:b/>
                <w:bCs/>
              </w:rPr>
            </w:pPr>
            <w:r>
              <w:rPr>
                <w:rFonts w:ascii="Arial" w:hAnsi="Arial" w:cs="Arial"/>
                <w:b/>
                <w:bCs/>
              </w:rPr>
              <w:t>1.1</w:t>
            </w:r>
          </w:p>
        </w:tc>
        <w:tc>
          <w:tcPr>
            <w:tcW w:w="1368" w:type="dxa"/>
            <w:vAlign w:val="bottom"/>
          </w:tcPr>
          <w:p w:rsidR="00000000" w:rsidRDefault="00657A20">
            <w:pPr>
              <w:jc w:val="right"/>
              <w:rPr>
                <w:rFonts w:ascii="Arial" w:hAnsi="Arial" w:cs="Arial"/>
                <w:b/>
                <w:bCs/>
              </w:rPr>
            </w:pPr>
            <w:r>
              <w:rPr>
                <w:rFonts w:ascii="Arial" w:hAnsi="Arial" w:cs="Arial"/>
                <w:b/>
                <w:bCs/>
              </w:rPr>
              <w:t>-0.4</w:t>
            </w:r>
          </w:p>
        </w:tc>
        <w:tc>
          <w:tcPr>
            <w:tcW w:w="1368" w:type="dxa"/>
            <w:vAlign w:val="bottom"/>
          </w:tcPr>
          <w:p w:rsidR="00000000" w:rsidRDefault="00657A20">
            <w:pPr>
              <w:jc w:val="right"/>
              <w:rPr>
                <w:rFonts w:ascii="Arial" w:hAnsi="Arial" w:cs="Arial"/>
                <w:b/>
                <w:bCs/>
              </w:rPr>
            </w:pPr>
            <w:r>
              <w:rPr>
                <w:rFonts w:ascii="Arial" w:hAnsi="Arial" w:cs="Arial"/>
                <w:b/>
                <w:bCs/>
              </w:rPr>
              <w:t>0.14</w:t>
            </w:r>
          </w:p>
        </w:tc>
        <w:tc>
          <w:tcPr>
            <w:tcW w:w="1368" w:type="dxa"/>
            <w:vAlign w:val="bottom"/>
          </w:tcPr>
          <w:p w:rsidR="00000000" w:rsidRDefault="00657A20">
            <w:pPr>
              <w:jc w:val="right"/>
              <w:rPr>
                <w:rFonts w:ascii="Arial" w:hAnsi="Arial" w:cs="Arial"/>
                <w:b/>
                <w:bCs/>
              </w:rPr>
            </w:pPr>
            <w:r>
              <w:rPr>
                <w:rFonts w:ascii="Arial" w:hAnsi="Arial" w:cs="Arial"/>
                <w:b/>
                <w:bCs/>
              </w:rPr>
              <w:t>0.5</w:t>
            </w:r>
          </w:p>
        </w:tc>
        <w:tc>
          <w:tcPr>
            <w:tcW w:w="1368" w:type="dxa"/>
            <w:vAlign w:val="bottom"/>
          </w:tcPr>
          <w:p w:rsidR="00000000" w:rsidRDefault="00657A20">
            <w:pPr>
              <w:jc w:val="right"/>
              <w:rPr>
                <w:rFonts w:ascii="Arial" w:hAnsi="Arial" w:cs="Arial"/>
                <w:b/>
                <w:bCs/>
              </w:rPr>
            </w:pPr>
            <w:r>
              <w:rPr>
                <w:rFonts w:ascii="Arial" w:hAnsi="Arial" w:cs="Arial"/>
                <w:b/>
                <w:bCs/>
              </w:rPr>
              <w:t>-0.6</w:t>
            </w:r>
          </w:p>
        </w:tc>
        <w:tc>
          <w:tcPr>
            <w:tcW w:w="1368" w:type="dxa"/>
            <w:vAlign w:val="bottom"/>
          </w:tcPr>
          <w:p w:rsidR="00000000" w:rsidRDefault="00657A20">
            <w:pPr>
              <w:jc w:val="right"/>
              <w:rPr>
                <w:rFonts w:ascii="Arial" w:hAnsi="Arial" w:cs="Arial"/>
                <w:b/>
                <w:bCs/>
              </w:rPr>
            </w:pPr>
            <w:r>
              <w:rPr>
                <w:rFonts w:ascii="Arial" w:hAnsi="Arial" w:cs="Arial"/>
                <w:b/>
                <w:bCs/>
              </w:rPr>
              <w:t>0.40</w:t>
            </w:r>
          </w:p>
        </w:tc>
      </w:tr>
      <w:tr w:rsidR="00000000">
        <w:tblPrEx>
          <w:tblCellMar>
            <w:top w:w="0" w:type="dxa"/>
            <w:bottom w:w="0" w:type="dxa"/>
          </w:tblCellMar>
        </w:tblPrEx>
        <w:tc>
          <w:tcPr>
            <w:tcW w:w="1368" w:type="dxa"/>
          </w:tcPr>
          <w:p w:rsidR="00000000" w:rsidRDefault="00657A20">
            <w:pPr>
              <w:jc w:val="center"/>
              <w:rPr>
                <w:b/>
                <w:bCs/>
              </w:rPr>
            </w:pPr>
            <w:r>
              <w:rPr>
                <w:b/>
                <w:bCs/>
              </w:rPr>
              <w:t>2</w:t>
            </w:r>
          </w:p>
        </w:tc>
        <w:tc>
          <w:tcPr>
            <w:tcW w:w="1368" w:type="dxa"/>
            <w:vAlign w:val="bottom"/>
          </w:tcPr>
          <w:p w:rsidR="00000000" w:rsidRDefault="00657A20">
            <w:pPr>
              <w:jc w:val="right"/>
              <w:rPr>
                <w:rFonts w:ascii="Arial" w:hAnsi="Arial" w:cs="Arial"/>
                <w:b/>
                <w:bCs/>
              </w:rPr>
            </w:pPr>
            <w:r>
              <w:rPr>
                <w:rFonts w:ascii="Arial" w:hAnsi="Arial" w:cs="Arial"/>
                <w:b/>
                <w:bCs/>
              </w:rPr>
              <w:t>0.8</w:t>
            </w:r>
          </w:p>
        </w:tc>
        <w:tc>
          <w:tcPr>
            <w:tcW w:w="1368" w:type="dxa"/>
            <w:vAlign w:val="bottom"/>
          </w:tcPr>
          <w:p w:rsidR="00000000" w:rsidRDefault="00657A20">
            <w:pPr>
              <w:jc w:val="right"/>
              <w:rPr>
                <w:rFonts w:ascii="Arial" w:hAnsi="Arial" w:cs="Arial"/>
                <w:b/>
                <w:bCs/>
              </w:rPr>
            </w:pPr>
            <w:r>
              <w:rPr>
                <w:rFonts w:ascii="Arial" w:hAnsi="Arial" w:cs="Arial"/>
                <w:b/>
                <w:bCs/>
              </w:rPr>
              <w:t>-0.7</w:t>
            </w:r>
          </w:p>
        </w:tc>
        <w:tc>
          <w:tcPr>
            <w:tcW w:w="1368" w:type="dxa"/>
            <w:vAlign w:val="bottom"/>
          </w:tcPr>
          <w:p w:rsidR="00000000" w:rsidRDefault="00657A20">
            <w:pPr>
              <w:jc w:val="right"/>
              <w:rPr>
                <w:rFonts w:ascii="Arial" w:hAnsi="Arial" w:cs="Arial"/>
                <w:b/>
                <w:bCs/>
              </w:rPr>
            </w:pPr>
            <w:r>
              <w:rPr>
                <w:rFonts w:ascii="Arial" w:hAnsi="Arial" w:cs="Arial"/>
                <w:b/>
                <w:bCs/>
              </w:rPr>
              <w:t>0.52</w:t>
            </w:r>
          </w:p>
        </w:tc>
        <w:tc>
          <w:tcPr>
            <w:tcW w:w="1368" w:type="dxa"/>
            <w:vAlign w:val="bottom"/>
          </w:tcPr>
          <w:p w:rsidR="00000000" w:rsidRDefault="00657A20">
            <w:pPr>
              <w:jc w:val="right"/>
              <w:rPr>
                <w:rFonts w:ascii="Arial" w:hAnsi="Arial" w:cs="Arial"/>
                <w:b/>
                <w:bCs/>
              </w:rPr>
            </w:pPr>
            <w:r>
              <w:rPr>
                <w:rFonts w:ascii="Arial" w:hAnsi="Arial" w:cs="Arial"/>
                <w:b/>
                <w:bCs/>
              </w:rPr>
              <w:t>0.1</w:t>
            </w:r>
          </w:p>
        </w:tc>
        <w:tc>
          <w:tcPr>
            <w:tcW w:w="1368" w:type="dxa"/>
            <w:vAlign w:val="bottom"/>
          </w:tcPr>
          <w:p w:rsidR="00000000" w:rsidRDefault="00657A20">
            <w:pPr>
              <w:jc w:val="right"/>
              <w:rPr>
                <w:rFonts w:ascii="Arial" w:hAnsi="Arial" w:cs="Arial"/>
                <w:b/>
                <w:bCs/>
              </w:rPr>
            </w:pPr>
            <w:r>
              <w:rPr>
                <w:rFonts w:ascii="Arial" w:hAnsi="Arial" w:cs="Arial"/>
                <w:b/>
                <w:bCs/>
              </w:rPr>
              <w:t>-1.0</w:t>
            </w:r>
          </w:p>
        </w:tc>
        <w:tc>
          <w:tcPr>
            <w:tcW w:w="1368" w:type="dxa"/>
            <w:vAlign w:val="bottom"/>
          </w:tcPr>
          <w:p w:rsidR="00000000" w:rsidRDefault="00657A20">
            <w:pPr>
              <w:jc w:val="right"/>
              <w:rPr>
                <w:rFonts w:ascii="Arial" w:hAnsi="Arial" w:cs="Arial"/>
                <w:b/>
                <w:bCs/>
              </w:rPr>
            </w:pPr>
            <w:r>
              <w:rPr>
                <w:rFonts w:ascii="Arial" w:hAnsi="Arial" w:cs="Arial"/>
                <w:b/>
                <w:bCs/>
              </w:rPr>
              <w:t>1.07</w:t>
            </w:r>
          </w:p>
        </w:tc>
      </w:tr>
      <w:tr w:rsidR="00000000">
        <w:tblPrEx>
          <w:tblCellMar>
            <w:top w:w="0" w:type="dxa"/>
            <w:bottom w:w="0" w:type="dxa"/>
          </w:tblCellMar>
        </w:tblPrEx>
        <w:tc>
          <w:tcPr>
            <w:tcW w:w="1368" w:type="dxa"/>
          </w:tcPr>
          <w:p w:rsidR="00000000" w:rsidRDefault="00657A20">
            <w:pPr>
              <w:jc w:val="center"/>
              <w:rPr>
                <w:b/>
                <w:bCs/>
              </w:rPr>
            </w:pPr>
            <w:r>
              <w:rPr>
                <w:b/>
                <w:bCs/>
              </w:rPr>
              <w:t>3</w:t>
            </w:r>
          </w:p>
        </w:tc>
        <w:tc>
          <w:tcPr>
            <w:tcW w:w="1368" w:type="dxa"/>
            <w:vAlign w:val="bottom"/>
          </w:tcPr>
          <w:p w:rsidR="00000000" w:rsidRDefault="00657A20">
            <w:pPr>
              <w:jc w:val="right"/>
              <w:rPr>
                <w:rFonts w:ascii="Arial" w:hAnsi="Arial" w:cs="Arial"/>
                <w:b/>
                <w:bCs/>
              </w:rPr>
            </w:pPr>
            <w:r>
              <w:rPr>
                <w:rFonts w:ascii="Arial" w:hAnsi="Arial" w:cs="Arial"/>
                <w:b/>
                <w:bCs/>
              </w:rPr>
              <w:t>0.4</w:t>
            </w:r>
          </w:p>
        </w:tc>
        <w:tc>
          <w:tcPr>
            <w:tcW w:w="1368" w:type="dxa"/>
            <w:vAlign w:val="bottom"/>
          </w:tcPr>
          <w:p w:rsidR="00000000" w:rsidRDefault="00657A20">
            <w:pPr>
              <w:jc w:val="right"/>
              <w:rPr>
                <w:rFonts w:ascii="Arial" w:hAnsi="Arial" w:cs="Arial"/>
                <w:b/>
                <w:bCs/>
              </w:rPr>
            </w:pPr>
            <w:r>
              <w:rPr>
                <w:rFonts w:ascii="Arial" w:hAnsi="Arial" w:cs="Arial"/>
                <w:b/>
                <w:bCs/>
              </w:rPr>
              <w:t>-1.1</w:t>
            </w:r>
          </w:p>
        </w:tc>
        <w:tc>
          <w:tcPr>
            <w:tcW w:w="1368" w:type="dxa"/>
            <w:vAlign w:val="bottom"/>
          </w:tcPr>
          <w:p w:rsidR="00000000" w:rsidRDefault="00657A20">
            <w:pPr>
              <w:jc w:val="right"/>
              <w:rPr>
                <w:rFonts w:ascii="Arial" w:hAnsi="Arial" w:cs="Arial"/>
                <w:b/>
                <w:bCs/>
              </w:rPr>
            </w:pPr>
            <w:r>
              <w:rPr>
                <w:rFonts w:ascii="Arial" w:hAnsi="Arial" w:cs="Arial"/>
                <w:b/>
                <w:bCs/>
              </w:rPr>
              <w:t>1.25</w:t>
            </w:r>
          </w:p>
        </w:tc>
        <w:tc>
          <w:tcPr>
            <w:tcW w:w="1368" w:type="dxa"/>
            <w:vAlign w:val="bottom"/>
          </w:tcPr>
          <w:p w:rsidR="00000000" w:rsidRDefault="00657A20">
            <w:pPr>
              <w:jc w:val="right"/>
              <w:rPr>
                <w:rFonts w:ascii="Arial" w:hAnsi="Arial" w:cs="Arial"/>
                <w:b/>
                <w:bCs/>
              </w:rPr>
            </w:pPr>
            <w:r>
              <w:rPr>
                <w:rFonts w:ascii="Arial" w:hAnsi="Arial" w:cs="Arial"/>
                <w:b/>
                <w:bCs/>
              </w:rPr>
              <w:t>1.0</w:t>
            </w:r>
          </w:p>
        </w:tc>
        <w:tc>
          <w:tcPr>
            <w:tcW w:w="1368" w:type="dxa"/>
            <w:vAlign w:val="bottom"/>
          </w:tcPr>
          <w:p w:rsidR="00000000" w:rsidRDefault="00657A20">
            <w:pPr>
              <w:jc w:val="right"/>
              <w:rPr>
                <w:rFonts w:ascii="Arial" w:hAnsi="Arial" w:cs="Arial"/>
                <w:b/>
                <w:bCs/>
              </w:rPr>
            </w:pPr>
            <w:r>
              <w:rPr>
                <w:rFonts w:ascii="Arial" w:hAnsi="Arial" w:cs="Arial"/>
                <w:b/>
                <w:bCs/>
              </w:rPr>
              <w:t>-0.1</w:t>
            </w:r>
          </w:p>
        </w:tc>
        <w:tc>
          <w:tcPr>
            <w:tcW w:w="1368" w:type="dxa"/>
            <w:vAlign w:val="bottom"/>
          </w:tcPr>
          <w:p w:rsidR="00000000" w:rsidRDefault="00657A20">
            <w:pPr>
              <w:jc w:val="right"/>
              <w:rPr>
                <w:rFonts w:ascii="Arial" w:hAnsi="Arial" w:cs="Arial"/>
                <w:b/>
                <w:bCs/>
              </w:rPr>
            </w:pPr>
            <w:r>
              <w:rPr>
                <w:rFonts w:ascii="Arial" w:hAnsi="Arial" w:cs="Arial"/>
                <w:b/>
                <w:bCs/>
              </w:rPr>
              <w:t>0.02</w:t>
            </w:r>
          </w:p>
        </w:tc>
      </w:tr>
      <w:tr w:rsidR="00000000">
        <w:tblPrEx>
          <w:tblCellMar>
            <w:top w:w="0" w:type="dxa"/>
            <w:bottom w:w="0" w:type="dxa"/>
          </w:tblCellMar>
        </w:tblPrEx>
        <w:tc>
          <w:tcPr>
            <w:tcW w:w="1368" w:type="dxa"/>
          </w:tcPr>
          <w:p w:rsidR="00000000" w:rsidRDefault="00657A20">
            <w:pPr>
              <w:jc w:val="center"/>
              <w:rPr>
                <w:b/>
                <w:bCs/>
              </w:rPr>
            </w:pPr>
            <w:r>
              <w:rPr>
                <w:b/>
                <w:bCs/>
              </w:rPr>
              <w:t>4</w:t>
            </w:r>
          </w:p>
        </w:tc>
        <w:tc>
          <w:tcPr>
            <w:tcW w:w="1368" w:type="dxa"/>
            <w:vAlign w:val="bottom"/>
          </w:tcPr>
          <w:p w:rsidR="00000000" w:rsidRDefault="00657A20">
            <w:pPr>
              <w:jc w:val="right"/>
              <w:rPr>
                <w:rFonts w:ascii="Arial" w:hAnsi="Arial" w:cs="Arial"/>
                <w:b/>
                <w:bCs/>
              </w:rPr>
            </w:pPr>
            <w:r>
              <w:rPr>
                <w:rFonts w:ascii="Arial" w:hAnsi="Arial" w:cs="Arial"/>
                <w:b/>
                <w:bCs/>
              </w:rPr>
              <w:t>2.0</w:t>
            </w:r>
          </w:p>
        </w:tc>
        <w:tc>
          <w:tcPr>
            <w:tcW w:w="1368" w:type="dxa"/>
            <w:vAlign w:val="bottom"/>
          </w:tcPr>
          <w:p w:rsidR="00000000" w:rsidRDefault="00657A20">
            <w:pPr>
              <w:jc w:val="right"/>
              <w:rPr>
                <w:rFonts w:ascii="Arial" w:hAnsi="Arial" w:cs="Arial"/>
                <w:b/>
                <w:bCs/>
              </w:rPr>
            </w:pPr>
            <w:r>
              <w:rPr>
                <w:rFonts w:ascii="Arial" w:hAnsi="Arial" w:cs="Arial"/>
                <w:b/>
                <w:bCs/>
              </w:rPr>
              <w:t>0.6</w:t>
            </w:r>
          </w:p>
        </w:tc>
        <w:tc>
          <w:tcPr>
            <w:tcW w:w="1368" w:type="dxa"/>
            <w:vAlign w:val="bottom"/>
          </w:tcPr>
          <w:p w:rsidR="00000000" w:rsidRDefault="00657A20">
            <w:pPr>
              <w:jc w:val="right"/>
              <w:rPr>
                <w:rFonts w:ascii="Arial" w:hAnsi="Arial" w:cs="Arial"/>
                <w:b/>
                <w:bCs/>
              </w:rPr>
            </w:pPr>
            <w:r>
              <w:rPr>
                <w:rFonts w:ascii="Arial" w:hAnsi="Arial" w:cs="Arial"/>
                <w:b/>
                <w:bCs/>
              </w:rPr>
              <w:t>0.31</w:t>
            </w:r>
          </w:p>
        </w:tc>
        <w:tc>
          <w:tcPr>
            <w:tcW w:w="1368" w:type="dxa"/>
            <w:vAlign w:val="bottom"/>
          </w:tcPr>
          <w:p w:rsidR="00000000" w:rsidRDefault="00657A20">
            <w:pPr>
              <w:jc w:val="right"/>
              <w:rPr>
                <w:rFonts w:ascii="Arial" w:hAnsi="Arial" w:cs="Arial"/>
                <w:b/>
                <w:bCs/>
              </w:rPr>
            </w:pPr>
            <w:r>
              <w:rPr>
                <w:rFonts w:ascii="Arial" w:hAnsi="Arial" w:cs="Arial"/>
                <w:b/>
                <w:bCs/>
              </w:rPr>
              <w:t>1.2</w:t>
            </w:r>
          </w:p>
        </w:tc>
        <w:tc>
          <w:tcPr>
            <w:tcW w:w="1368" w:type="dxa"/>
            <w:vAlign w:val="bottom"/>
          </w:tcPr>
          <w:p w:rsidR="00000000" w:rsidRDefault="00657A20">
            <w:pPr>
              <w:jc w:val="right"/>
              <w:rPr>
                <w:rFonts w:ascii="Arial" w:hAnsi="Arial" w:cs="Arial"/>
                <w:b/>
                <w:bCs/>
              </w:rPr>
            </w:pPr>
            <w:r>
              <w:rPr>
                <w:rFonts w:ascii="Arial" w:hAnsi="Arial" w:cs="Arial"/>
                <w:b/>
                <w:bCs/>
              </w:rPr>
              <w:t>0.</w:t>
            </w:r>
            <w:r>
              <w:rPr>
                <w:rFonts w:ascii="Arial" w:hAnsi="Arial" w:cs="Arial"/>
                <w:b/>
                <w:bCs/>
              </w:rPr>
              <w:t>1</w:t>
            </w:r>
          </w:p>
        </w:tc>
        <w:tc>
          <w:tcPr>
            <w:tcW w:w="1368" w:type="dxa"/>
            <w:vAlign w:val="bottom"/>
          </w:tcPr>
          <w:p w:rsidR="00000000" w:rsidRDefault="00657A20">
            <w:pPr>
              <w:jc w:val="right"/>
              <w:rPr>
                <w:rFonts w:ascii="Arial" w:hAnsi="Arial" w:cs="Arial"/>
                <w:b/>
                <w:bCs/>
              </w:rPr>
            </w:pPr>
            <w:r>
              <w:rPr>
                <w:rFonts w:ascii="Arial" w:hAnsi="Arial" w:cs="Arial"/>
                <w:b/>
                <w:bCs/>
              </w:rPr>
              <w:t>0.00</w:t>
            </w:r>
          </w:p>
        </w:tc>
      </w:tr>
      <w:tr w:rsidR="00000000">
        <w:tblPrEx>
          <w:tblCellMar>
            <w:top w:w="0" w:type="dxa"/>
            <w:bottom w:w="0" w:type="dxa"/>
          </w:tblCellMar>
        </w:tblPrEx>
        <w:tc>
          <w:tcPr>
            <w:tcW w:w="1368" w:type="dxa"/>
          </w:tcPr>
          <w:p w:rsidR="00000000" w:rsidRDefault="00657A20">
            <w:pPr>
              <w:jc w:val="center"/>
              <w:rPr>
                <w:b/>
                <w:bCs/>
              </w:rPr>
            </w:pPr>
            <w:r>
              <w:rPr>
                <w:b/>
                <w:bCs/>
              </w:rPr>
              <w:t>5</w:t>
            </w:r>
          </w:p>
        </w:tc>
        <w:tc>
          <w:tcPr>
            <w:tcW w:w="1368" w:type="dxa"/>
            <w:vAlign w:val="bottom"/>
          </w:tcPr>
          <w:p w:rsidR="00000000" w:rsidRDefault="00657A20">
            <w:pPr>
              <w:jc w:val="right"/>
              <w:rPr>
                <w:rFonts w:ascii="Arial" w:hAnsi="Arial" w:cs="Arial"/>
                <w:b/>
                <w:bCs/>
              </w:rPr>
            </w:pPr>
            <w:r>
              <w:rPr>
                <w:rFonts w:ascii="Arial" w:hAnsi="Arial" w:cs="Arial"/>
                <w:b/>
                <w:bCs/>
              </w:rPr>
              <w:t>1.0</w:t>
            </w:r>
          </w:p>
        </w:tc>
        <w:tc>
          <w:tcPr>
            <w:tcW w:w="1368" w:type="dxa"/>
            <w:vAlign w:val="bottom"/>
          </w:tcPr>
          <w:p w:rsidR="00000000" w:rsidRDefault="00657A20">
            <w:pPr>
              <w:jc w:val="right"/>
              <w:rPr>
                <w:rFonts w:ascii="Arial" w:hAnsi="Arial" w:cs="Arial"/>
                <w:b/>
                <w:bCs/>
              </w:rPr>
            </w:pPr>
            <w:r>
              <w:rPr>
                <w:rFonts w:ascii="Arial" w:hAnsi="Arial" w:cs="Arial"/>
                <w:b/>
                <w:bCs/>
              </w:rPr>
              <w:t>-0.5</w:t>
            </w:r>
          </w:p>
        </w:tc>
        <w:tc>
          <w:tcPr>
            <w:tcW w:w="1368" w:type="dxa"/>
            <w:vAlign w:val="bottom"/>
          </w:tcPr>
          <w:p w:rsidR="00000000" w:rsidRDefault="00657A20">
            <w:pPr>
              <w:jc w:val="right"/>
              <w:rPr>
                <w:rFonts w:ascii="Arial" w:hAnsi="Arial" w:cs="Arial"/>
                <w:b/>
                <w:bCs/>
              </w:rPr>
            </w:pPr>
            <w:r>
              <w:rPr>
                <w:rFonts w:ascii="Arial" w:hAnsi="Arial" w:cs="Arial"/>
                <w:b/>
                <w:bCs/>
              </w:rPr>
              <w:t>0.24</w:t>
            </w:r>
          </w:p>
        </w:tc>
        <w:tc>
          <w:tcPr>
            <w:tcW w:w="1368" w:type="dxa"/>
            <w:vAlign w:val="bottom"/>
          </w:tcPr>
          <w:p w:rsidR="00000000" w:rsidRDefault="00657A20">
            <w:pPr>
              <w:jc w:val="right"/>
              <w:rPr>
                <w:rFonts w:ascii="Arial" w:hAnsi="Arial" w:cs="Arial"/>
                <w:b/>
                <w:bCs/>
              </w:rPr>
            </w:pPr>
            <w:r>
              <w:rPr>
                <w:rFonts w:ascii="Arial" w:hAnsi="Arial" w:cs="Arial"/>
                <w:b/>
                <w:bCs/>
              </w:rPr>
              <w:t>0.2</w:t>
            </w:r>
          </w:p>
        </w:tc>
        <w:tc>
          <w:tcPr>
            <w:tcW w:w="1368" w:type="dxa"/>
            <w:vAlign w:val="bottom"/>
          </w:tcPr>
          <w:p w:rsidR="00000000" w:rsidRDefault="00657A20">
            <w:pPr>
              <w:jc w:val="right"/>
              <w:rPr>
                <w:rFonts w:ascii="Arial" w:hAnsi="Arial" w:cs="Arial"/>
                <w:b/>
                <w:bCs/>
              </w:rPr>
            </w:pPr>
            <w:r>
              <w:rPr>
                <w:rFonts w:ascii="Arial" w:hAnsi="Arial" w:cs="Arial"/>
                <w:b/>
                <w:bCs/>
              </w:rPr>
              <w:t>-0.9</w:t>
            </w:r>
          </w:p>
        </w:tc>
        <w:tc>
          <w:tcPr>
            <w:tcW w:w="1368" w:type="dxa"/>
            <w:vAlign w:val="bottom"/>
          </w:tcPr>
          <w:p w:rsidR="00000000" w:rsidRDefault="00657A20">
            <w:pPr>
              <w:jc w:val="right"/>
              <w:rPr>
                <w:rFonts w:ascii="Arial" w:hAnsi="Arial" w:cs="Arial"/>
                <w:b/>
                <w:bCs/>
              </w:rPr>
            </w:pPr>
            <w:r>
              <w:rPr>
                <w:rFonts w:ascii="Arial" w:hAnsi="Arial" w:cs="Arial"/>
                <w:b/>
                <w:bCs/>
              </w:rPr>
              <w:t>0.87</w:t>
            </w:r>
          </w:p>
        </w:tc>
      </w:tr>
      <w:tr w:rsidR="00000000">
        <w:tblPrEx>
          <w:tblCellMar>
            <w:top w:w="0" w:type="dxa"/>
            <w:bottom w:w="0" w:type="dxa"/>
          </w:tblCellMar>
        </w:tblPrEx>
        <w:tc>
          <w:tcPr>
            <w:tcW w:w="1368" w:type="dxa"/>
          </w:tcPr>
          <w:p w:rsidR="00000000" w:rsidRDefault="00657A20">
            <w:pPr>
              <w:jc w:val="center"/>
              <w:rPr>
                <w:b/>
                <w:bCs/>
              </w:rPr>
            </w:pPr>
            <w:r>
              <w:rPr>
                <w:b/>
                <w:bCs/>
              </w:rPr>
              <w:t>6</w:t>
            </w:r>
          </w:p>
        </w:tc>
        <w:tc>
          <w:tcPr>
            <w:tcW w:w="1368" w:type="dxa"/>
            <w:vAlign w:val="bottom"/>
          </w:tcPr>
          <w:p w:rsidR="00000000" w:rsidRDefault="00657A20">
            <w:pPr>
              <w:jc w:val="right"/>
              <w:rPr>
                <w:rFonts w:ascii="Arial" w:hAnsi="Arial" w:cs="Arial"/>
                <w:b/>
                <w:bCs/>
              </w:rPr>
            </w:pPr>
            <w:r>
              <w:rPr>
                <w:rFonts w:ascii="Arial" w:hAnsi="Arial" w:cs="Arial"/>
                <w:b/>
                <w:bCs/>
              </w:rPr>
              <w:t>1.2</w:t>
            </w:r>
          </w:p>
        </w:tc>
        <w:tc>
          <w:tcPr>
            <w:tcW w:w="1368" w:type="dxa"/>
            <w:vAlign w:val="bottom"/>
          </w:tcPr>
          <w:p w:rsidR="00000000" w:rsidRDefault="00657A20">
            <w:pPr>
              <w:jc w:val="right"/>
              <w:rPr>
                <w:rFonts w:ascii="Arial" w:hAnsi="Arial" w:cs="Arial"/>
                <w:b/>
                <w:bCs/>
              </w:rPr>
            </w:pPr>
            <w:r>
              <w:rPr>
                <w:rFonts w:ascii="Arial" w:hAnsi="Arial" w:cs="Arial"/>
                <w:b/>
                <w:bCs/>
              </w:rPr>
              <w:t>-0.3</w:t>
            </w:r>
          </w:p>
        </w:tc>
        <w:tc>
          <w:tcPr>
            <w:tcW w:w="1368" w:type="dxa"/>
            <w:vAlign w:val="bottom"/>
          </w:tcPr>
          <w:p w:rsidR="00000000" w:rsidRDefault="00657A20">
            <w:pPr>
              <w:jc w:val="right"/>
              <w:rPr>
                <w:rFonts w:ascii="Arial" w:hAnsi="Arial" w:cs="Arial"/>
                <w:b/>
                <w:bCs/>
              </w:rPr>
            </w:pPr>
            <w:r>
              <w:rPr>
                <w:rFonts w:ascii="Arial" w:hAnsi="Arial" w:cs="Arial"/>
                <w:b/>
                <w:bCs/>
              </w:rPr>
              <w:t>0.07</w:t>
            </w:r>
          </w:p>
        </w:tc>
        <w:tc>
          <w:tcPr>
            <w:tcW w:w="1368" w:type="dxa"/>
            <w:vAlign w:val="bottom"/>
          </w:tcPr>
          <w:p w:rsidR="00000000" w:rsidRDefault="00657A20">
            <w:pPr>
              <w:jc w:val="right"/>
              <w:rPr>
                <w:rFonts w:ascii="Arial" w:hAnsi="Arial" w:cs="Arial"/>
                <w:b/>
                <w:bCs/>
              </w:rPr>
            </w:pPr>
            <w:r>
              <w:rPr>
                <w:rFonts w:ascii="Arial" w:hAnsi="Arial" w:cs="Arial"/>
                <w:b/>
                <w:bCs/>
              </w:rPr>
              <w:t>0.4</w:t>
            </w:r>
          </w:p>
        </w:tc>
        <w:tc>
          <w:tcPr>
            <w:tcW w:w="1368" w:type="dxa"/>
            <w:vAlign w:val="bottom"/>
          </w:tcPr>
          <w:p w:rsidR="00000000" w:rsidRDefault="00657A20">
            <w:pPr>
              <w:jc w:val="right"/>
              <w:rPr>
                <w:rFonts w:ascii="Arial" w:hAnsi="Arial" w:cs="Arial"/>
                <w:b/>
                <w:bCs/>
              </w:rPr>
            </w:pPr>
            <w:r>
              <w:rPr>
                <w:rFonts w:ascii="Arial" w:hAnsi="Arial" w:cs="Arial"/>
                <w:b/>
                <w:bCs/>
              </w:rPr>
              <w:t>-0.7</w:t>
            </w:r>
          </w:p>
        </w:tc>
        <w:tc>
          <w:tcPr>
            <w:tcW w:w="1368" w:type="dxa"/>
            <w:vAlign w:val="bottom"/>
          </w:tcPr>
          <w:p w:rsidR="00000000" w:rsidRDefault="00657A20">
            <w:pPr>
              <w:jc w:val="right"/>
              <w:rPr>
                <w:rFonts w:ascii="Arial" w:hAnsi="Arial" w:cs="Arial"/>
                <w:b/>
                <w:bCs/>
              </w:rPr>
            </w:pPr>
            <w:r>
              <w:rPr>
                <w:rFonts w:ascii="Arial" w:hAnsi="Arial" w:cs="Arial"/>
                <w:b/>
                <w:bCs/>
              </w:rPr>
              <w:t>0.54</w:t>
            </w:r>
          </w:p>
        </w:tc>
      </w:tr>
      <w:tr w:rsidR="00000000">
        <w:tblPrEx>
          <w:tblCellMar>
            <w:top w:w="0" w:type="dxa"/>
            <w:bottom w:w="0" w:type="dxa"/>
          </w:tblCellMar>
        </w:tblPrEx>
        <w:tc>
          <w:tcPr>
            <w:tcW w:w="1368" w:type="dxa"/>
          </w:tcPr>
          <w:p w:rsidR="00000000" w:rsidRDefault="00657A20">
            <w:pPr>
              <w:jc w:val="center"/>
              <w:rPr>
                <w:b/>
                <w:bCs/>
              </w:rPr>
            </w:pPr>
            <w:r>
              <w:rPr>
                <w:b/>
                <w:bCs/>
              </w:rPr>
              <w:t>7</w:t>
            </w:r>
          </w:p>
        </w:tc>
        <w:tc>
          <w:tcPr>
            <w:tcW w:w="1368" w:type="dxa"/>
            <w:vAlign w:val="bottom"/>
          </w:tcPr>
          <w:p w:rsidR="00000000" w:rsidRDefault="00657A20">
            <w:pPr>
              <w:jc w:val="right"/>
              <w:rPr>
                <w:rFonts w:ascii="Arial" w:hAnsi="Arial" w:cs="Arial"/>
                <w:b/>
                <w:bCs/>
              </w:rPr>
            </w:pPr>
            <w:r>
              <w:rPr>
                <w:rFonts w:ascii="Arial" w:hAnsi="Arial" w:cs="Arial"/>
                <w:b/>
                <w:bCs/>
              </w:rPr>
              <w:t>1.7</w:t>
            </w:r>
          </w:p>
        </w:tc>
        <w:tc>
          <w:tcPr>
            <w:tcW w:w="1368" w:type="dxa"/>
            <w:vAlign w:val="bottom"/>
          </w:tcPr>
          <w:p w:rsidR="00000000" w:rsidRDefault="00657A20">
            <w:pPr>
              <w:jc w:val="right"/>
              <w:rPr>
                <w:rFonts w:ascii="Arial" w:hAnsi="Arial" w:cs="Arial"/>
                <w:b/>
                <w:bCs/>
              </w:rPr>
            </w:pPr>
            <w:r>
              <w:rPr>
                <w:rFonts w:ascii="Arial" w:hAnsi="Arial" w:cs="Arial"/>
                <w:b/>
                <w:bCs/>
              </w:rPr>
              <w:t>0.3</w:t>
            </w:r>
          </w:p>
        </w:tc>
        <w:tc>
          <w:tcPr>
            <w:tcW w:w="1368" w:type="dxa"/>
            <w:vAlign w:val="bottom"/>
          </w:tcPr>
          <w:p w:rsidR="00000000" w:rsidRDefault="00657A20">
            <w:pPr>
              <w:jc w:val="right"/>
              <w:rPr>
                <w:rFonts w:ascii="Arial" w:hAnsi="Arial" w:cs="Arial"/>
                <w:b/>
                <w:bCs/>
              </w:rPr>
            </w:pPr>
            <w:r>
              <w:rPr>
                <w:rFonts w:ascii="Arial" w:hAnsi="Arial" w:cs="Arial"/>
                <w:b/>
                <w:bCs/>
              </w:rPr>
              <w:t>0.07</w:t>
            </w:r>
          </w:p>
        </w:tc>
        <w:tc>
          <w:tcPr>
            <w:tcW w:w="1368" w:type="dxa"/>
            <w:vAlign w:val="bottom"/>
          </w:tcPr>
          <w:p w:rsidR="00000000" w:rsidRDefault="00657A20">
            <w:pPr>
              <w:jc w:val="right"/>
              <w:rPr>
                <w:rFonts w:ascii="Arial" w:hAnsi="Arial" w:cs="Arial"/>
                <w:b/>
                <w:bCs/>
              </w:rPr>
            </w:pPr>
            <w:r>
              <w:rPr>
                <w:rFonts w:ascii="Arial" w:hAnsi="Arial" w:cs="Arial"/>
                <w:b/>
                <w:bCs/>
              </w:rPr>
              <w:t>1.2</w:t>
            </w:r>
          </w:p>
        </w:tc>
        <w:tc>
          <w:tcPr>
            <w:tcW w:w="1368" w:type="dxa"/>
            <w:vAlign w:val="bottom"/>
          </w:tcPr>
          <w:p w:rsidR="00000000" w:rsidRDefault="00657A20">
            <w:pPr>
              <w:jc w:val="right"/>
              <w:rPr>
                <w:rFonts w:ascii="Arial" w:hAnsi="Arial" w:cs="Arial"/>
                <w:b/>
                <w:bCs/>
              </w:rPr>
            </w:pPr>
            <w:r>
              <w:rPr>
                <w:rFonts w:ascii="Arial" w:hAnsi="Arial" w:cs="Arial"/>
                <w:b/>
                <w:bCs/>
              </w:rPr>
              <w:t>0.1</w:t>
            </w:r>
          </w:p>
        </w:tc>
        <w:tc>
          <w:tcPr>
            <w:tcW w:w="1368" w:type="dxa"/>
            <w:vAlign w:val="bottom"/>
          </w:tcPr>
          <w:p w:rsidR="00000000" w:rsidRDefault="00657A20">
            <w:pPr>
              <w:jc w:val="right"/>
              <w:rPr>
                <w:rFonts w:ascii="Arial" w:hAnsi="Arial" w:cs="Arial"/>
                <w:b/>
                <w:bCs/>
              </w:rPr>
            </w:pPr>
            <w:r>
              <w:rPr>
                <w:rFonts w:ascii="Arial" w:hAnsi="Arial" w:cs="Arial"/>
                <w:b/>
                <w:bCs/>
              </w:rPr>
              <w:t>0.00</w:t>
            </w:r>
          </w:p>
        </w:tc>
      </w:tr>
      <w:tr w:rsidR="00000000">
        <w:tblPrEx>
          <w:tblCellMar>
            <w:top w:w="0" w:type="dxa"/>
            <w:bottom w:w="0" w:type="dxa"/>
          </w:tblCellMar>
        </w:tblPrEx>
        <w:tc>
          <w:tcPr>
            <w:tcW w:w="1368" w:type="dxa"/>
          </w:tcPr>
          <w:p w:rsidR="00000000" w:rsidRDefault="00657A20">
            <w:pPr>
              <w:jc w:val="center"/>
              <w:rPr>
                <w:b/>
                <w:bCs/>
              </w:rPr>
            </w:pPr>
            <w:r>
              <w:rPr>
                <w:b/>
                <w:bCs/>
              </w:rPr>
              <w:t>8</w:t>
            </w:r>
          </w:p>
        </w:tc>
        <w:tc>
          <w:tcPr>
            <w:tcW w:w="1368" w:type="dxa"/>
            <w:vAlign w:val="bottom"/>
          </w:tcPr>
          <w:p w:rsidR="00000000" w:rsidRDefault="00657A20">
            <w:pPr>
              <w:jc w:val="right"/>
              <w:rPr>
                <w:rFonts w:ascii="Arial" w:hAnsi="Arial" w:cs="Arial"/>
                <w:b/>
                <w:bCs/>
              </w:rPr>
            </w:pPr>
            <w:r>
              <w:rPr>
                <w:rFonts w:ascii="Arial" w:hAnsi="Arial" w:cs="Arial"/>
                <w:b/>
                <w:bCs/>
              </w:rPr>
              <w:t>3.7</w:t>
            </w:r>
          </w:p>
        </w:tc>
        <w:tc>
          <w:tcPr>
            <w:tcW w:w="1368" w:type="dxa"/>
            <w:vAlign w:val="bottom"/>
          </w:tcPr>
          <w:p w:rsidR="00000000" w:rsidRDefault="00657A20">
            <w:pPr>
              <w:jc w:val="right"/>
              <w:rPr>
                <w:rFonts w:ascii="Arial" w:hAnsi="Arial" w:cs="Arial"/>
                <w:b/>
                <w:bCs/>
              </w:rPr>
            </w:pPr>
            <w:r>
              <w:rPr>
                <w:rFonts w:ascii="Arial" w:hAnsi="Arial" w:cs="Arial"/>
                <w:b/>
                <w:bCs/>
              </w:rPr>
              <w:t>2.3</w:t>
            </w:r>
          </w:p>
        </w:tc>
        <w:tc>
          <w:tcPr>
            <w:tcW w:w="1368" w:type="dxa"/>
            <w:vAlign w:val="bottom"/>
          </w:tcPr>
          <w:p w:rsidR="00000000" w:rsidRDefault="00657A20">
            <w:pPr>
              <w:jc w:val="right"/>
              <w:rPr>
                <w:rFonts w:ascii="Arial" w:hAnsi="Arial" w:cs="Arial"/>
                <w:b/>
                <w:bCs/>
              </w:rPr>
            </w:pPr>
            <w:r>
              <w:rPr>
                <w:rFonts w:ascii="Arial" w:hAnsi="Arial" w:cs="Arial"/>
                <w:b/>
                <w:bCs/>
              </w:rPr>
              <w:t>5.06</w:t>
            </w:r>
          </w:p>
        </w:tc>
        <w:tc>
          <w:tcPr>
            <w:tcW w:w="1368" w:type="dxa"/>
            <w:vAlign w:val="bottom"/>
          </w:tcPr>
          <w:p w:rsidR="00000000" w:rsidRDefault="00657A20">
            <w:pPr>
              <w:jc w:val="right"/>
              <w:rPr>
                <w:rFonts w:ascii="Arial" w:hAnsi="Arial" w:cs="Arial"/>
                <w:b/>
                <w:bCs/>
              </w:rPr>
            </w:pPr>
            <w:r>
              <w:rPr>
                <w:rFonts w:ascii="Arial" w:hAnsi="Arial" w:cs="Arial"/>
                <w:b/>
                <w:bCs/>
              </w:rPr>
              <w:t>0.9</w:t>
            </w:r>
          </w:p>
        </w:tc>
        <w:tc>
          <w:tcPr>
            <w:tcW w:w="1368" w:type="dxa"/>
            <w:vAlign w:val="bottom"/>
          </w:tcPr>
          <w:p w:rsidR="00000000" w:rsidRDefault="00657A20">
            <w:pPr>
              <w:jc w:val="right"/>
              <w:rPr>
                <w:rFonts w:ascii="Arial" w:hAnsi="Arial" w:cs="Arial"/>
                <w:b/>
                <w:bCs/>
              </w:rPr>
            </w:pPr>
            <w:r>
              <w:rPr>
                <w:rFonts w:ascii="Arial" w:hAnsi="Arial" w:cs="Arial"/>
                <w:b/>
                <w:bCs/>
              </w:rPr>
              <w:t>-0.2</w:t>
            </w:r>
          </w:p>
        </w:tc>
        <w:tc>
          <w:tcPr>
            <w:tcW w:w="1368" w:type="dxa"/>
            <w:vAlign w:val="bottom"/>
          </w:tcPr>
          <w:p w:rsidR="00000000" w:rsidRDefault="00657A20">
            <w:pPr>
              <w:jc w:val="right"/>
              <w:rPr>
                <w:rFonts w:ascii="Arial" w:hAnsi="Arial" w:cs="Arial"/>
                <w:b/>
                <w:bCs/>
              </w:rPr>
            </w:pPr>
            <w:r>
              <w:rPr>
                <w:rFonts w:ascii="Arial" w:hAnsi="Arial" w:cs="Arial"/>
                <w:b/>
                <w:bCs/>
              </w:rPr>
              <w:t>0.06</w:t>
            </w:r>
          </w:p>
        </w:tc>
      </w:tr>
      <w:tr w:rsidR="00000000">
        <w:tblPrEx>
          <w:tblCellMar>
            <w:top w:w="0" w:type="dxa"/>
            <w:bottom w:w="0" w:type="dxa"/>
          </w:tblCellMar>
        </w:tblPrEx>
        <w:tc>
          <w:tcPr>
            <w:tcW w:w="1368" w:type="dxa"/>
          </w:tcPr>
          <w:p w:rsidR="00000000" w:rsidRDefault="00657A20">
            <w:pPr>
              <w:jc w:val="center"/>
              <w:rPr>
                <w:b/>
                <w:bCs/>
              </w:rPr>
            </w:pPr>
            <w:r>
              <w:rPr>
                <w:b/>
                <w:bCs/>
              </w:rPr>
              <w:t>9</w:t>
            </w:r>
          </w:p>
        </w:tc>
        <w:tc>
          <w:tcPr>
            <w:tcW w:w="1368" w:type="dxa"/>
            <w:vAlign w:val="bottom"/>
          </w:tcPr>
          <w:p w:rsidR="00000000" w:rsidRDefault="00657A20">
            <w:pPr>
              <w:jc w:val="right"/>
              <w:rPr>
                <w:rFonts w:ascii="Arial" w:hAnsi="Arial" w:cs="Arial"/>
                <w:b/>
                <w:bCs/>
              </w:rPr>
            </w:pPr>
            <w:r>
              <w:rPr>
                <w:rFonts w:ascii="Arial" w:hAnsi="Arial" w:cs="Arial"/>
                <w:b/>
                <w:bCs/>
              </w:rPr>
              <w:t>1.1</w:t>
            </w:r>
          </w:p>
        </w:tc>
        <w:tc>
          <w:tcPr>
            <w:tcW w:w="1368" w:type="dxa"/>
            <w:vAlign w:val="bottom"/>
          </w:tcPr>
          <w:p w:rsidR="00000000" w:rsidRDefault="00657A20">
            <w:pPr>
              <w:jc w:val="right"/>
              <w:rPr>
                <w:rFonts w:ascii="Arial" w:hAnsi="Arial" w:cs="Arial"/>
                <w:b/>
                <w:bCs/>
              </w:rPr>
            </w:pPr>
            <w:r>
              <w:rPr>
                <w:rFonts w:ascii="Arial" w:hAnsi="Arial" w:cs="Arial"/>
                <w:b/>
                <w:bCs/>
              </w:rPr>
              <w:t>-0.4</w:t>
            </w:r>
          </w:p>
        </w:tc>
        <w:tc>
          <w:tcPr>
            <w:tcW w:w="1368" w:type="dxa"/>
            <w:vAlign w:val="bottom"/>
          </w:tcPr>
          <w:p w:rsidR="00000000" w:rsidRDefault="00657A20">
            <w:pPr>
              <w:jc w:val="right"/>
              <w:rPr>
                <w:rFonts w:ascii="Arial" w:hAnsi="Arial" w:cs="Arial"/>
                <w:b/>
                <w:bCs/>
              </w:rPr>
            </w:pPr>
            <w:r>
              <w:rPr>
                <w:rFonts w:ascii="Arial" w:hAnsi="Arial" w:cs="Arial"/>
                <w:b/>
                <w:bCs/>
              </w:rPr>
              <w:t>0.18</w:t>
            </w:r>
          </w:p>
        </w:tc>
        <w:tc>
          <w:tcPr>
            <w:tcW w:w="1368" w:type="dxa"/>
            <w:vAlign w:val="bottom"/>
          </w:tcPr>
          <w:p w:rsidR="00000000" w:rsidRDefault="00657A20">
            <w:pPr>
              <w:jc w:val="right"/>
              <w:rPr>
                <w:rFonts w:ascii="Arial" w:hAnsi="Arial" w:cs="Arial"/>
                <w:b/>
                <w:bCs/>
              </w:rPr>
            </w:pPr>
            <w:r>
              <w:rPr>
                <w:rFonts w:ascii="Arial" w:hAnsi="Arial" w:cs="Arial"/>
                <w:b/>
                <w:bCs/>
              </w:rPr>
              <w:t>0.1</w:t>
            </w:r>
          </w:p>
        </w:tc>
        <w:tc>
          <w:tcPr>
            <w:tcW w:w="1368" w:type="dxa"/>
            <w:vAlign w:val="bottom"/>
          </w:tcPr>
          <w:p w:rsidR="00000000" w:rsidRDefault="00657A20">
            <w:pPr>
              <w:jc w:val="right"/>
              <w:rPr>
                <w:rFonts w:ascii="Arial" w:hAnsi="Arial" w:cs="Arial"/>
                <w:b/>
                <w:bCs/>
              </w:rPr>
            </w:pPr>
            <w:r>
              <w:rPr>
                <w:rFonts w:ascii="Arial" w:hAnsi="Arial" w:cs="Arial"/>
                <w:b/>
                <w:bCs/>
              </w:rPr>
              <w:t>-1.0</w:t>
            </w:r>
          </w:p>
        </w:tc>
        <w:tc>
          <w:tcPr>
            <w:tcW w:w="1368" w:type="dxa"/>
            <w:vAlign w:val="bottom"/>
          </w:tcPr>
          <w:p w:rsidR="00000000" w:rsidRDefault="00657A20">
            <w:pPr>
              <w:jc w:val="right"/>
              <w:rPr>
                <w:rFonts w:ascii="Arial" w:hAnsi="Arial" w:cs="Arial"/>
                <w:b/>
                <w:bCs/>
              </w:rPr>
            </w:pPr>
            <w:r>
              <w:rPr>
                <w:rFonts w:ascii="Arial" w:hAnsi="Arial" w:cs="Arial"/>
                <w:b/>
                <w:bCs/>
              </w:rPr>
              <w:t>1.07</w:t>
            </w:r>
          </w:p>
        </w:tc>
      </w:tr>
      <w:tr w:rsidR="00000000">
        <w:tblPrEx>
          <w:tblCellMar>
            <w:top w:w="0" w:type="dxa"/>
            <w:bottom w:w="0" w:type="dxa"/>
          </w:tblCellMar>
        </w:tblPrEx>
        <w:tc>
          <w:tcPr>
            <w:tcW w:w="1368" w:type="dxa"/>
          </w:tcPr>
          <w:p w:rsidR="00000000" w:rsidRDefault="00657A20">
            <w:pPr>
              <w:jc w:val="center"/>
              <w:rPr>
                <w:b/>
                <w:bCs/>
              </w:rPr>
            </w:pPr>
            <w:r>
              <w:rPr>
                <w:b/>
                <w:bCs/>
              </w:rPr>
              <w:t>10</w:t>
            </w:r>
          </w:p>
        </w:tc>
        <w:tc>
          <w:tcPr>
            <w:tcW w:w="1368" w:type="dxa"/>
            <w:vAlign w:val="bottom"/>
          </w:tcPr>
          <w:p w:rsidR="00000000" w:rsidRDefault="00657A20">
            <w:pPr>
              <w:jc w:val="right"/>
              <w:rPr>
                <w:rFonts w:ascii="Arial" w:hAnsi="Arial" w:cs="Arial"/>
                <w:b/>
                <w:bCs/>
              </w:rPr>
            </w:pPr>
            <w:r>
              <w:rPr>
                <w:rFonts w:ascii="Arial" w:hAnsi="Arial" w:cs="Arial"/>
                <w:b/>
                <w:bCs/>
              </w:rPr>
              <w:t>3.1</w:t>
            </w:r>
          </w:p>
        </w:tc>
        <w:tc>
          <w:tcPr>
            <w:tcW w:w="1368" w:type="dxa"/>
            <w:vAlign w:val="bottom"/>
          </w:tcPr>
          <w:p w:rsidR="00000000" w:rsidRDefault="00657A20">
            <w:pPr>
              <w:jc w:val="right"/>
              <w:rPr>
                <w:rFonts w:ascii="Arial" w:hAnsi="Arial" w:cs="Arial"/>
                <w:b/>
                <w:bCs/>
              </w:rPr>
            </w:pPr>
            <w:r>
              <w:rPr>
                <w:rFonts w:ascii="Arial" w:hAnsi="Arial" w:cs="Arial"/>
                <w:b/>
                <w:bCs/>
              </w:rPr>
              <w:t>1.6</w:t>
            </w:r>
          </w:p>
        </w:tc>
        <w:tc>
          <w:tcPr>
            <w:tcW w:w="1368" w:type="dxa"/>
            <w:vAlign w:val="bottom"/>
          </w:tcPr>
          <w:p w:rsidR="00000000" w:rsidRDefault="00657A20">
            <w:pPr>
              <w:jc w:val="right"/>
              <w:rPr>
                <w:rFonts w:ascii="Arial" w:hAnsi="Arial" w:cs="Arial"/>
                <w:b/>
                <w:bCs/>
              </w:rPr>
            </w:pPr>
            <w:r>
              <w:rPr>
                <w:rFonts w:ascii="Arial" w:hAnsi="Arial" w:cs="Arial"/>
                <w:b/>
                <w:bCs/>
              </w:rPr>
              <w:t>2.63</w:t>
            </w:r>
          </w:p>
        </w:tc>
        <w:tc>
          <w:tcPr>
            <w:tcW w:w="1368" w:type="dxa"/>
            <w:vAlign w:val="bottom"/>
          </w:tcPr>
          <w:p w:rsidR="00000000" w:rsidRDefault="00657A20">
            <w:pPr>
              <w:jc w:val="right"/>
              <w:rPr>
                <w:rFonts w:ascii="Arial" w:hAnsi="Arial" w:cs="Arial"/>
                <w:b/>
                <w:bCs/>
              </w:rPr>
            </w:pPr>
            <w:r>
              <w:rPr>
                <w:rFonts w:ascii="Arial" w:hAnsi="Arial" w:cs="Arial"/>
                <w:b/>
                <w:bCs/>
              </w:rPr>
              <w:t>1.3</w:t>
            </w:r>
          </w:p>
        </w:tc>
        <w:tc>
          <w:tcPr>
            <w:tcW w:w="1368" w:type="dxa"/>
            <w:vAlign w:val="bottom"/>
          </w:tcPr>
          <w:p w:rsidR="00000000" w:rsidRDefault="00657A20">
            <w:pPr>
              <w:jc w:val="right"/>
              <w:rPr>
                <w:rFonts w:ascii="Arial" w:hAnsi="Arial" w:cs="Arial"/>
                <w:b/>
                <w:bCs/>
              </w:rPr>
            </w:pPr>
            <w:r>
              <w:rPr>
                <w:rFonts w:ascii="Arial" w:hAnsi="Arial" w:cs="Arial"/>
                <w:b/>
                <w:bCs/>
              </w:rPr>
              <w:t>0.2</w:t>
            </w:r>
          </w:p>
        </w:tc>
        <w:tc>
          <w:tcPr>
            <w:tcW w:w="1368" w:type="dxa"/>
            <w:vAlign w:val="bottom"/>
          </w:tcPr>
          <w:p w:rsidR="00000000" w:rsidRDefault="00657A20">
            <w:pPr>
              <w:jc w:val="right"/>
              <w:rPr>
                <w:rFonts w:ascii="Arial" w:hAnsi="Arial" w:cs="Arial"/>
                <w:b/>
                <w:bCs/>
              </w:rPr>
            </w:pPr>
            <w:r>
              <w:rPr>
                <w:rFonts w:ascii="Arial" w:hAnsi="Arial" w:cs="Arial"/>
                <w:b/>
                <w:bCs/>
              </w:rPr>
              <w:t>0.03</w:t>
            </w:r>
          </w:p>
        </w:tc>
      </w:tr>
      <w:tr w:rsidR="00000000">
        <w:tblPrEx>
          <w:tblCellMar>
            <w:top w:w="0" w:type="dxa"/>
            <w:bottom w:w="0" w:type="dxa"/>
          </w:tblCellMar>
        </w:tblPrEx>
        <w:tc>
          <w:tcPr>
            <w:tcW w:w="1368" w:type="dxa"/>
          </w:tcPr>
          <w:p w:rsidR="00000000" w:rsidRDefault="00657A20">
            <w:pPr>
              <w:jc w:val="center"/>
              <w:rPr>
                <w:b/>
                <w:bCs/>
              </w:rPr>
            </w:pPr>
            <w:r>
              <w:rPr>
                <w:b/>
                <w:bCs/>
              </w:rPr>
              <w:t>11</w:t>
            </w:r>
          </w:p>
        </w:tc>
        <w:tc>
          <w:tcPr>
            <w:tcW w:w="1368" w:type="dxa"/>
            <w:vAlign w:val="bottom"/>
          </w:tcPr>
          <w:p w:rsidR="00000000" w:rsidRDefault="00657A20">
            <w:pPr>
              <w:jc w:val="right"/>
              <w:rPr>
                <w:rFonts w:ascii="Arial" w:hAnsi="Arial" w:cs="Arial"/>
                <w:b/>
                <w:bCs/>
              </w:rPr>
            </w:pPr>
            <w:r>
              <w:rPr>
                <w:rFonts w:ascii="Arial" w:hAnsi="Arial" w:cs="Arial"/>
                <w:b/>
                <w:bCs/>
              </w:rPr>
              <w:t>2.0</w:t>
            </w:r>
          </w:p>
        </w:tc>
        <w:tc>
          <w:tcPr>
            <w:tcW w:w="1368" w:type="dxa"/>
            <w:vAlign w:val="bottom"/>
          </w:tcPr>
          <w:p w:rsidR="00000000" w:rsidRDefault="00657A20">
            <w:pPr>
              <w:jc w:val="right"/>
              <w:rPr>
                <w:rFonts w:ascii="Arial" w:hAnsi="Arial" w:cs="Arial"/>
                <w:b/>
                <w:bCs/>
              </w:rPr>
            </w:pPr>
            <w:r>
              <w:rPr>
                <w:rFonts w:ascii="Arial" w:hAnsi="Arial" w:cs="Arial"/>
                <w:b/>
                <w:bCs/>
              </w:rPr>
              <w:t>0.5</w:t>
            </w:r>
          </w:p>
        </w:tc>
        <w:tc>
          <w:tcPr>
            <w:tcW w:w="1368" w:type="dxa"/>
            <w:vAlign w:val="bottom"/>
          </w:tcPr>
          <w:p w:rsidR="00000000" w:rsidRDefault="00657A20">
            <w:pPr>
              <w:jc w:val="right"/>
              <w:rPr>
                <w:rFonts w:ascii="Arial" w:hAnsi="Arial" w:cs="Arial"/>
                <w:b/>
                <w:bCs/>
              </w:rPr>
            </w:pPr>
            <w:r>
              <w:rPr>
                <w:rFonts w:ascii="Arial" w:hAnsi="Arial" w:cs="Arial"/>
                <w:b/>
                <w:bCs/>
              </w:rPr>
              <w:t>0.27</w:t>
            </w:r>
          </w:p>
        </w:tc>
        <w:tc>
          <w:tcPr>
            <w:tcW w:w="1368" w:type="dxa"/>
            <w:vAlign w:val="bottom"/>
          </w:tcPr>
          <w:p w:rsidR="00000000" w:rsidRDefault="00657A20">
            <w:pPr>
              <w:jc w:val="right"/>
              <w:rPr>
                <w:rFonts w:ascii="Arial" w:hAnsi="Arial" w:cs="Arial"/>
                <w:b/>
                <w:bCs/>
              </w:rPr>
            </w:pPr>
            <w:r>
              <w:rPr>
                <w:rFonts w:ascii="Arial" w:hAnsi="Arial" w:cs="Arial"/>
                <w:b/>
                <w:bCs/>
              </w:rPr>
              <w:t>0.9</w:t>
            </w:r>
          </w:p>
        </w:tc>
        <w:tc>
          <w:tcPr>
            <w:tcW w:w="1368" w:type="dxa"/>
            <w:vAlign w:val="bottom"/>
          </w:tcPr>
          <w:p w:rsidR="00000000" w:rsidRDefault="00657A20">
            <w:pPr>
              <w:jc w:val="right"/>
              <w:rPr>
                <w:rFonts w:ascii="Arial" w:hAnsi="Arial" w:cs="Arial"/>
                <w:b/>
                <w:bCs/>
              </w:rPr>
            </w:pPr>
            <w:r>
              <w:rPr>
                <w:rFonts w:ascii="Arial" w:hAnsi="Arial" w:cs="Arial"/>
                <w:b/>
                <w:bCs/>
              </w:rPr>
              <w:t>-0.2</w:t>
            </w:r>
          </w:p>
        </w:tc>
        <w:tc>
          <w:tcPr>
            <w:tcW w:w="1368" w:type="dxa"/>
            <w:vAlign w:val="bottom"/>
          </w:tcPr>
          <w:p w:rsidR="00000000" w:rsidRDefault="00657A20">
            <w:pPr>
              <w:jc w:val="right"/>
              <w:rPr>
                <w:rFonts w:ascii="Arial" w:hAnsi="Arial" w:cs="Arial"/>
                <w:b/>
                <w:bCs/>
              </w:rPr>
            </w:pPr>
            <w:r>
              <w:rPr>
                <w:rFonts w:ascii="Arial" w:hAnsi="Arial" w:cs="Arial"/>
                <w:b/>
                <w:bCs/>
              </w:rPr>
              <w:t>0.06</w:t>
            </w:r>
          </w:p>
        </w:tc>
      </w:tr>
      <w:tr w:rsidR="00000000">
        <w:tblPrEx>
          <w:tblCellMar>
            <w:top w:w="0" w:type="dxa"/>
            <w:bottom w:w="0" w:type="dxa"/>
          </w:tblCellMar>
        </w:tblPrEx>
        <w:tc>
          <w:tcPr>
            <w:tcW w:w="1368" w:type="dxa"/>
          </w:tcPr>
          <w:p w:rsidR="00000000" w:rsidRDefault="00657A20">
            <w:pPr>
              <w:jc w:val="center"/>
              <w:rPr>
                <w:b/>
                <w:bCs/>
              </w:rPr>
            </w:pPr>
            <w:r>
              <w:rPr>
                <w:b/>
                <w:bCs/>
              </w:rPr>
              <w:t>12</w:t>
            </w:r>
          </w:p>
        </w:tc>
        <w:tc>
          <w:tcPr>
            <w:tcW w:w="1368" w:type="dxa"/>
            <w:vAlign w:val="bottom"/>
          </w:tcPr>
          <w:p w:rsidR="00000000" w:rsidRDefault="00657A20">
            <w:pPr>
              <w:jc w:val="right"/>
              <w:rPr>
                <w:rFonts w:ascii="Arial" w:hAnsi="Arial" w:cs="Arial"/>
                <w:b/>
                <w:bCs/>
              </w:rPr>
            </w:pPr>
            <w:r>
              <w:rPr>
                <w:rFonts w:ascii="Arial" w:hAnsi="Arial" w:cs="Arial"/>
                <w:b/>
                <w:bCs/>
              </w:rPr>
              <w:t>0.7</w:t>
            </w:r>
          </w:p>
        </w:tc>
        <w:tc>
          <w:tcPr>
            <w:tcW w:w="1368" w:type="dxa"/>
            <w:vAlign w:val="bottom"/>
          </w:tcPr>
          <w:p w:rsidR="00000000" w:rsidRDefault="00657A20">
            <w:pPr>
              <w:jc w:val="right"/>
              <w:rPr>
                <w:rFonts w:ascii="Arial" w:hAnsi="Arial" w:cs="Arial"/>
                <w:b/>
                <w:bCs/>
              </w:rPr>
            </w:pPr>
            <w:r>
              <w:rPr>
                <w:rFonts w:ascii="Arial" w:hAnsi="Arial" w:cs="Arial"/>
                <w:b/>
                <w:bCs/>
              </w:rPr>
              <w:t>-0.8</w:t>
            </w:r>
          </w:p>
        </w:tc>
        <w:tc>
          <w:tcPr>
            <w:tcW w:w="1368" w:type="dxa"/>
            <w:vAlign w:val="bottom"/>
          </w:tcPr>
          <w:p w:rsidR="00000000" w:rsidRDefault="00657A20">
            <w:pPr>
              <w:jc w:val="right"/>
              <w:rPr>
                <w:rFonts w:ascii="Arial" w:hAnsi="Arial" w:cs="Arial"/>
                <w:b/>
                <w:bCs/>
              </w:rPr>
            </w:pPr>
            <w:r>
              <w:rPr>
                <w:rFonts w:ascii="Arial" w:hAnsi="Arial" w:cs="Arial"/>
                <w:b/>
                <w:bCs/>
              </w:rPr>
              <w:t>0.61</w:t>
            </w:r>
          </w:p>
        </w:tc>
        <w:tc>
          <w:tcPr>
            <w:tcW w:w="1368" w:type="dxa"/>
            <w:vAlign w:val="bottom"/>
          </w:tcPr>
          <w:p w:rsidR="00000000" w:rsidRDefault="00657A20">
            <w:pPr>
              <w:jc w:val="right"/>
              <w:rPr>
                <w:rFonts w:ascii="Arial" w:hAnsi="Arial" w:cs="Arial"/>
                <w:b/>
                <w:bCs/>
              </w:rPr>
            </w:pPr>
            <w:r>
              <w:rPr>
                <w:rFonts w:ascii="Arial" w:hAnsi="Arial" w:cs="Arial"/>
                <w:b/>
                <w:bCs/>
              </w:rPr>
              <w:t>1.0</w:t>
            </w:r>
          </w:p>
        </w:tc>
        <w:tc>
          <w:tcPr>
            <w:tcW w:w="1368" w:type="dxa"/>
            <w:vAlign w:val="bottom"/>
          </w:tcPr>
          <w:p w:rsidR="00000000" w:rsidRDefault="00657A20">
            <w:pPr>
              <w:jc w:val="right"/>
              <w:rPr>
                <w:rFonts w:ascii="Arial" w:hAnsi="Arial" w:cs="Arial"/>
                <w:b/>
                <w:bCs/>
              </w:rPr>
            </w:pPr>
            <w:r>
              <w:rPr>
                <w:rFonts w:ascii="Arial" w:hAnsi="Arial" w:cs="Arial"/>
                <w:b/>
                <w:bCs/>
              </w:rPr>
              <w:t>-0.1</w:t>
            </w:r>
          </w:p>
        </w:tc>
        <w:tc>
          <w:tcPr>
            <w:tcW w:w="1368" w:type="dxa"/>
            <w:vAlign w:val="bottom"/>
          </w:tcPr>
          <w:p w:rsidR="00000000" w:rsidRDefault="00657A20">
            <w:pPr>
              <w:jc w:val="right"/>
              <w:rPr>
                <w:rFonts w:ascii="Arial" w:hAnsi="Arial" w:cs="Arial"/>
                <w:b/>
                <w:bCs/>
              </w:rPr>
            </w:pPr>
            <w:r>
              <w:rPr>
                <w:rFonts w:ascii="Arial" w:hAnsi="Arial" w:cs="Arial"/>
                <w:b/>
                <w:bCs/>
              </w:rPr>
              <w:t>0.02</w:t>
            </w:r>
          </w:p>
        </w:tc>
      </w:tr>
      <w:tr w:rsidR="00000000">
        <w:tblPrEx>
          <w:tblCellMar>
            <w:top w:w="0" w:type="dxa"/>
            <w:bottom w:w="0" w:type="dxa"/>
          </w:tblCellMar>
        </w:tblPrEx>
        <w:tc>
          <w:tcPr>
            <w:tcW w:w="1368" w:type="dxa"/>
          </w:tcPr>
          <w:p w:rsidR="00000000" w:rsidRDefault="00657A20">
            <w:pPr>
              <w:jc w:val="center"/>
              <w:rPr>
                <w:b/>
                <w:bCs/>
              </w:rPr>
            </w:pPr>
            <w:r>
              <w:rPr>
                <w:b/>
                <w:bCs/>
              </w:rPr>
              <w:t>13</w:t>
            </w:r>
          </w:p>
        </w:tc>
        <w:tc>
          <w:tcPr>
            <w:tcW w:w="1368" w:type="dxa"/>
            <w:vAlign w:val="bottom"/>
          </w:tcPr>
          <w:p w:rsidR="00000000" w:rsidRDefault="00657A20">
            <w:pPr>
              <w:jc w:val="right"/>
              <w:rPr>
                <w:rFonts w:ascii="Arial" w:hAnsi="Arial" w:cs="Arial"/>
                <w:b/>
                <w:bCs/>
              </w:rPr>
            </w:pPr>
            <w:r>
              <w:rPr>
                <w:rFonts w:ascii="Arial" w:hAnsi="Arial" w:cs="Arial"/>
                <w:b/>
                <w:bCs/>
              </w:rPr>
              <w:t>0.4</w:t>
            </w:r>
          </w:p>
        </w:tc>
        <w:tc>
          <w:tcPr>
            <w:tcW w:w="1368" w:type="dxa"/>
            <w:vAlign w:val="bottom"/>
          </w:tcPr>
          <w:p w:rsidR="00000000" w:rsidRDefault="00657A20">
            <w:pPr>
              <w:jc w:val="right"/>
              <w:rPr>
                <w:rFonts w:ascii="Arial" w:hAnsi="Arial" w:cs="Arial"/>
                <w:b/>
                <w:bCs/>
              </w:rPr>
            </w:pPr>
            <w:r>
              <w:rPr>
                <w:rFonts w:ascii="Arial" w:hAnsi="Arial" w:cs="Arial"/>
                <w:b/>
                <w:bCs/>
              </w:rPr>
              <w:t>-1.1</w:t>
            </w:r>
          </w:p>
        </w:tc>
        <w:tc>
          <w:tcPr>
            <w:tcW w:w="1368" w:type="dxa"/>
            <w:vAlign w:val="bottom"/>
          </w:tcPr>
          <w:p w:rsidR="00000000" w:rsidRDefault="00657A20">
            <w:pPr>
              <w:jc w:val="right"/>
              <w:rPr>
                <w:rFonts w:ascii="Arial" w:hAnsi="Arial" w:cs="Arial"/>
                <w:b/>
                <w:bCs/>
              </w:rPr>
            </w:pPr>
            <w:r>
              <w:rPr>
                <w:rFonts w:ascii="Arial" w:hAnsi="Arial" w:cs="Arial"/>
                <w:b/>
                <w:bCs/>
              </w:rPr>
              <w:t>1.17</w:t>
            </w:r>
          </w:p>
        </w:tc>
        <w:tc>
          <w:tcPr>
            <w:tcW w:w="1368" w:type="dxa"/>
            <w:vAlign w:val="bottom"/>
          </w:tcPr>
          <w:p w:rsidR="00000000" w:rsidRDefault="00657A20">
            <w:pPr>
              <w:jc w:val="right"/>
              <w:rPr>
                <w:rFonts w:ascii="Arial" w:hAnsi="Arial" w:cs="Arial"/>
                <w:b/>
                <w:bCs/>
              </w:rPr>
            </w:pPr>
            <w:r>
              <w:rPr>
                <w:rFonts w:ascii="Arial" w:hAnsi="Arial" w:cs="Arial"/>
                <w:b/>
                <w:bCs/>
              </w:rPr>
              <w:t>2.0</w:t>
            </w:r>
          </w:p>
        </w:tc>
        <w:tc>
          <w:tcPr>
            <w:tcW w:w="1368" w:type="dxa"/>
            <w:vAlign w:val="bottom"/>
          </w:tcPr>
          <w:p w:rsidR="00000000" w:rsidRDefault="00657A20">
            <w:pPr>
              <w:jc w:val="right"/>
              <w:rPr>
                <w:rFonts w:ascii="Arial" w:hAnsi="Arial" w:cs="Arial"/>
                <w:b/>
                <w:bCs/>
              </w:rPr>
            </w:pPr>
            <w:r>
              <w:rPr>
                <w:rFonts w:ascii="Arial" w:hAnsi="Arial" w:cs="Arial"/>
                <w:b/>
                <w:bCs/>
              </w:rPr>
              <w:t>0.9</w:t>
            </w:r>
          </w:p>
        </w:tc>
        <w:tc>
          <w:tcPr>
            <w:tcW w:w="1368" w:type="dxa"/>
            <w:vAlign w:val="bottom"/>
          </w:tcPr>
          <w:p w:rsidR="00000000" w:rsidRDefault="00657A20">
            <w:pPr>
              <w:jc w:val="right"/>
              <w:rPr>
                <w:rFonts w:ascii="Arial" w:hAnsi="Arial" w:cs="Arial"/>
                <w:b/>
                <w:bCs/>
              </w:rPr>
            </w:pPr>
            <w:r>
              <w:rPr>
                <w:rFonts w:ascii="Arial" w:hAnsi="Arial" w:cs="Arial"/>
                <w:b/>
                <w:bCs/>
              </w:rPr>
              <w:t>0.75</w:t>
            </w:r>
          </w:p>
        </w:tc>
      </w:tr>
      <w:tr w:rsidR="00000000">
        <w:tblPrEx>
          <w:tblCellMar>
            <w:top w:w="0" w:type="dxa"/>
            <w:bottom w:w="0" w:type="dxa"/>
          </w:tblCellMar>
        </w:tblPrEx>
        <w:tc>
          <w:tcPr>
            <w:tcW w:w="1368" w:type="dxa"/>
          </w:tcPr>
          <w:p w:rsidR="00000000" w:rsidRDefault="00657A20">
            <w:pPr>
              <w:jc w:val="center"/>
              <w:rPr>
                <w:b/>
                <w:bCs/>
              </w:rPr>
            </w:pPr>
            <w:r>
              <w:rPr>
                <w:b/>
                <w:bCs/>
              </w:rPr>
              <w:t>14</w:t>
            </w:r>
          </w:p>
        </w:tc>
        <w:tc>
          <w:tcPr>
            <w:tcW w:w="1368" w:type="dxa"/>
            <w:vAlign w:val="bottom"/>
          </w:tcPr>
          <w:p w:rsidR="00000000" w:rsidRDefault="00657A20">
            <w:pPr>
              <w:jc w:val="right"/>
              <w:rPr>
                <w:rFonts w:ascii="Arial" w:hAnsi="Arial" w:cs="Arial"/>
                <w:b/>
                <w:bCs/>
              </w:rPr>
            </w:pPr>
            <w:r>
              <w:rPr>
                <w:rFonts w:ascii="Arial" w:hAnsi="Arial" w:cs="Arial"/>
                <w:b/>
                <w:bCs/>
              </w:rPr>
              <w:t>0.9</w:t>
            </w:r>
          </w:p>
        </w:tc>
        <w:tc>
          <w:tcPr>
            <w:tcW w:w="1368" w:type="dxa"/>
            <w:vAlign w:val="bottom"/>
          </w:tcPr>
          <w:p w:rsidR="00000000" w:rsidRDefault="00657A20">
            <w:pPr>
              <w:jc w:val="right"/>
              <w:rPr>
                <w:rFonts w:ascii="Arial" w:hAnsi="Arial" w:cs="Arial"/>
                <w:b/>
                <w:bCs/>
              </w:rPr>
            </w:pPr>
            <w:r>
              <w:rPr>
                <w:rFonts w:ascii="Arial" w:hAnsi="Arial" w:cs="Arial"/>
                <w:b/>
                <w:bCs/>
              </w:rPr>
              <w:t>-0.6</w:t>
            </w:r>
          </w:p>
        </w:tc>
        <w:tc>
          <w:tcPr>
            <w:tcW w:w="1368" w:type="dxa"/>
            <w:vAlign w:val="bottom"/>
          </w:tcPr>
          <w:p w:rsidR="00000000" w:rsidRDefault="00657A20">
            <w:pPr>
              <w:jc w:val="right"/>
              <w:rPr>
                <w:rFonts w:ascii="Arial" w:hAnsi="Arial" w:cs="Arial"/>
                <w:b/>
                <w:bCs/>
              </w:rPr>
            </w:pPr>
            <w:r>
              <w:rPr>
                <w:rFonts w:ascii="Arial" w:hAnsi="Arial" w:cs="Arial"/>
                <w:b/>
                <w:bCs/>
              </w:rPr>
              <w:t>0.34</w:t>
            </w:r>
          </w:p>
        </w:tc>
        <w:tc>
          <w:tcPr>
            <w:tcW w:w="1368" w:type="dxa"/>
            <w:vAlign w:val="bottom"/>
          </w:tcPr>
          <w:p w:rsidR="00000000" w:rsidRDefault="00657A20">
            <w:pPr>
              <w:jc w:val="right"/>
              <w:rPr>
                <w:rFonts w:ascii="Arial" w:hAnsi="Arial" w:cs="Arial"/>
                <w:b/>
                <w:bCs/>
              </w:rPr>
            </w:pPr>
            <w:r>
              <w:rPr>
                <w:rFonts w:ascii="Arial" w:hAnsi="Arial" w:cs="Arial"/>
                <w:b/>
                <w:bCs/>
              </w:rPr>
              <w:t>0.2</w:t>
            </w:r>
          </w:p>
        </w:tc>
        <w:tc>
          <w:tcPr>
            <w:tcW w:w="1368" w:type="dxa"/>
            <w:vAlign w:val="bottom"/>
          </w:tcPr>
          <w:p w:rsidR="00000000" w:rsidRDefault="00657A20">
            <w:pPr>
              <w:jc w:val="right"/>
              <w:rPr>
                <w:rFonts w:ascii="Arial" w:hAnsi="Arial" w:cs="Arial"/>
                <w:b/>
                <w:bCs/>
              </w:rPr>
            </w:pPr>
            <w:r>
              <w:rPr>
                <w:rFonts w:ascii="Arial" w:hAnsi="Arial" w:cs="Arial"/>
                <w:b/>
                <w:bCs/>
              </w:rPr>
              <w:t>-0.9</w:t>
            </w:r>
          </w:p>
        </w:tc>
        <w:tc>
          <w:tcPr>
            <w:tcW w:w="1368" w:type="dxa"/>
            <w:vAlign w:val="bottom"/>
          </w:tcPr>
          <w:p w:rsidR="00000000" w:rsidRDefault="00657A20">
            <w:pPr>
              <w:jc w:val="right"/>
              <w:rPr>
                <w:rFonts w:ascii="Arial" w:hAnsi="Arial" w:cs="Arial"/>
                <w:b/>
                <w:bCs/>
              </w:rPr>
            </w:pPr>
            <w:r>
              <w:rPr>
                <w:rFonts w:ascii="Arial" w:hAnsi="Arial" w:cs="Arial"/>
                <w:b/>
                <w:bCs/>
              </w:rPr>
              <w:t>0.87</w:t>
            </w:r>
          </w:p>
        </w:tc>
      </w:tr>
      <w:tr w:rsidR="00000000">
        <w:tblPrEx>
          <w:tblCellMar>
            <w:top w:w="0" w:type="dxa"/>
            <w:bottom w:w="0" w:type="dxa"/>
          </w:tblCellMar>
        </w:tblPrEx>
        <w:tc>
          <w:tcPr>
            <w:tcW w:w="1368" w:type="dxa"/>
          </w:tcPr>
          <w:p w:rsidR="00000000" w:rsidRDefault="00657A20">
            <w:pPr>
              <w:jc w:val="center"/>
              <w:rPr>
                <w:b/>
                <w:bCs/>
              </w:rPr>
            </w:pPr>
            <w:r>
              <w:rPr>
                <w:b/>
                <w:bCs/>
              </w:rPr>
              <w:t>15</w:t>
            </w:r>
          </w:p>
        </w:tc>
        <w:tc>
          <w:tcPr>
            <w:tcW w:w="1368" w:type="dxa"/>
            <w:vAlign w:val="bottom"/>
          </w:tcPr>
          <w:p w:rsidR="00000000" w:rsidRDefault="00657A20">
            <w:pPr>
              <w:jc w:val="right"/>
              <w:rPr>
                <w:rFonts w:ascii="Arial" w:hAnsi="Arial" w:cs="Arial"/>
                <w:b/>
                <w:bCs/>
              </w:rPr>
            </w:pPr>
            <w:r>
              <w:rPr>
                <w:rFonts w:ascii="Arial" w:hAnsi="Arial" w:cs="Arial"/>
                <w:b/>
                <w:bCs/>
              </w:rPr>
              <w:t>1.4</w:t>
            </w:r>
          </w:p>
        </w:tc>
        <w:tc>
          <w:tcPr>
            <w:tcW w:w="1368" w:type="dxa"/>
            <w:vAlign w:val="bottom"/>
          </w:tcPr>
          <w:p w:rsidR="00000000" w:rsidRDefault="00657A20">
            <w:pPr>
              <w:jc w:val="right"/>
              <w:rPr>
                <w:rFonts w:ascii="Arial" w:hAnsi="Arial" w:cs="Arial"/>
                <w:b/>
                <w:bCs/>
              </w:rPr>
            </w:pPr>
            <w:r>
              <w:rPr>
                <w:rFonts w:ascii="Arial" w:hAnsi="Arial" w:cs="Arial"/>
                <w:b/>
                <w:bCs/>
              </w:rPr>
              <w:t>-0.1</w:t>
            </w:r>
          </w:p>
        </w:tc>
        <w:tc>
          <w:tcPr>
            <w:tcW w:w="1368" w:type="dxa"/>
            <w:vAlign w:val="bottom"/>
          </w:tcPr>
          <w:p w:rsidR="00000000" w:rsidRDefault="00657A20">
            <w:pPr>
              <w:jc w:val="right"/>
              <w:rPr>
                <w:rFonts w:ascii="Arial" w:hAnsi="Arial" w:cs="Arial"/>
                <w:b/>
                <w:bCs/>
              </w:rPr>
            </w:pPr>
            <w:r>
              <w:rPr>
                <w:rFonts w:ascii="Arial" w:hAnsi="Arial" w:cs="Arial"/>
                <w:b/>
                <w:bCs/>
              </w:rPr>
              <w:t>0.01</w:t>
            </w:r>
          </w:p>
        </w:tc>
        <w:tc>
          <w:tcPr>
            <w:tcW w:w="1368" w:type="dxa"/>
            <w:vAlign w:val="bottom"/>
          </w:tcPr>
          <w:p w:rsidR="00000000" w:rsidRDefault="00657A20">
            <w:pPr>
              <w:jc w:val="right"/>
              <w:rPr>
                <w:rFonts w:ascii="Arial" w:hAnsi="Arial" w:cs="Arial"/>
                <w:b/>
                <w:bCs/>
              </w:rPr>
            </w:pPr>
            <w:r>
              <w:rPr>
                <w:rFonts w:ascii="Arial" w:hAnsi="Arial" w:cs="Arial"/>
                <w:b/>
                <w:bCs/>
              </w:rPr>
              <w:t>1.0</w:t>
            </w:r>
          </w:p>
        </w:tc>
        <w:tc>
          <w:tcPr>
            <w:tcW w:w="1368" w:type="dxa"/>
            <w:vAlign w:val="bottom"/>
          </w:tcPr>
          <w:p w:rsidR="00000000" w:rsidRDefault="00657A20">
            <w:pPr>
              <w:jc w:val="right"/>
              <w:rPr>
                <w:rFonts w:ascii="Arial" w:hAnsi="Arial" w:cs="Arial"/>
                <w:b/>
                <w:bCs/>
              </w:rPr>
            </w:pPr>
            <w:r>
              <w:rPr>
                <w:rFonts w:ascii="Arial" w:hAnsi="Arial" w:cs="Arial"/>
                <w:b/>
                <w:bCs/>
              </w:rPr>
              <w:t>-0.1</w:t>
            </w:r>
          </w:p>
        </w:tc>
        <w:tc>
          <w:tcPr>
            <w:tcW w:w="1368" w:type="dxa"/>
            <w:vAlign w:val="bottom"/>
          </w:tcPr>
          <w:p w:rsidR="00000000" w:rsidRDefault="00657A20">
            <w:pPr>
              <w:jc w:val="right"/>
              <w:rPr>
                <w:rFonts w:ascii="Arial" w:hAnsi="Arial" w:cs="Arial"/>
                <w:b/>
                <w:bCs/>
              </w:rPr>
            </w:pPr>
            <w:r>
              <w:rPr>
                <w:rFonts w:ascii="Arial" w:hAnsi="Arial" w:cs="Arial"/>
                <w:b/>
                <w:bCs/>
              </w:rPr>
              <w:t>0.02</w:t>
            </w:r>
          </w:p>
        </w:tc>
      </w:tr>
      <w:tr w:rsidR="00000000">
        <w:tblPrEx>
          <w:tblCellMar>
            <w:top w:w="0" w:type="dxa"/>
            <w:bottom w:w="0" w:type="dxa"/>
          </w:tblCellMar>
        </w:tblPrEx>
        <w:tc>
          <w:tcPr>
            <w:tcW w:w="1368" w:type="dxa"/>
          </w:tcPr>
          <w:p w:rsidR="00000000" w:rsidRDefault="00657A20">
            <w:pPr>
              <w:jc w:val="center"/>
              <w:rPr>
                <w:b/>
                <w:bCs/>
              </w:rPr>
            </w:pPr>
            <w:r>
              <w:rPr>
                <w:b/>
                <w:bCs/>
              </w:rPr>
              <w:t>16</w:t>
            </w:r>
          </w:p>
        </w:tc>
        <w:tc>
          <w:tcPr>
            <w:tcW w:w="1368" w:type="dxa"/>
            <w:vAlign w:val="bottom"/>
          </w:tcPr>
          <w:p w:rsidR="00000000" w:rsidRDefault="00657A20">
            <w:pPr>
              <w:jc w:val="right"/>
              <w:rPr>
                <w:rFonts w:ascii="Arial" w:hAnsi="Arial" w:cs="Arial"/>
                <w:b/>
                <w:bCs/>
              </w:rPr>
            </w:pPr>
            <w:r>
              <w:rPr>
                <w:rFonts w:ascii="Arial" w:hAnsi="Arial" w:cs="Arial"/>
                <w:b/>
                <w:bCs/>
              </w:rPr>
              <w:t>1.9</w:t>
            </w:r>
          </w:p>
        </w:tc>
        <w:tc>
          <w:tcPr>
            <w:tcW w:w="1368" w:type="dxa"/>
            <w:vAlign w:val="bottom"/>
          </w:tcPr>
          <w:p w:rsidR="00000000" w:rsidRDefault="00657A20">
            <w:pPr>
              <w:jc w:val="right"/>
              <w:rPr>
                <w:rFonts w:ascii="Arial" w:hAnsi="Arial" w:cs="Arial"/>
                <w:b/>
                <w:bCs/>
              </w:rPr>
            </w:pPr>
            <w:r>
              <w:rPr>
                <w:rFonts w:ascii="Arial" w:hAnsi="Arial" w:cs="Arial"/>
                <w:b/>
                <w:bCs/>
              </w:rPr>
              <w:t>0.4</w:t>
            </w:r>
          </w:p>
        </w:tc>
        <w:tc>
          <w:tcPr>
            <w:tcW w:w="1368" w:type="dxa"/>
            <w:vAlign w:val="bottom"/>
          </w:tcPr>
          <w:p w:rsidR="00000000" w:rsidRDefault="00657A20">
            <w:pPr>
              <w:jc w:val="right"/>
              <w:rPr>
                <w:rFonts w:ascii="Arial" w:hAnsi="Arial" w:cs="Arial"/>
                <w:b/>
                <w:bCs/>
              </w:rPr>
            </w:pPr>
            <w:r>
              <w:rPr>
                <w:rFonts w:ascii="Arial" w:hAnsi="Arial" w:cs="Arial"/>
                <w:b/>
                <w:bCs/>
              </w:rPr>
              <w:t>0.18</w:t>
            </w:r>
          </w:p>
        </w:tc>
        <w:tc>
          <w:tcPr>
            <w:tcW w:w="1368" w:type="dxa"/>
            <w:vAlign w:val="bottom"/>
          </w:tcPr>
          <w:p w:rsidR="00000000" w:rsidRDefault="00657A20">
            <w:pPr>
              <w:jc w:val="right"/>
              <w:rPr>
                <w:rFonts w:ascii="Arial" w:hAnsi="Arial" w:cs="Arial"/>
                <w:b/>
                <w:bCs/>
              </w:rPr>
            </w:pPr>
            <w:r>
              <w:rPr>
                <w:rFonts w:ascii="Arial" w:hAnsi="Arial" w:cs="Arial"/>
                <w:b/>
                <w:bCs/>
              </w:rPr>
              <w:t>1.4</w:t>
            </w:r>
          </w:p>
        </w:tc>
        <w:tc>
          <w:tcPr>
            <w:tcW w:w="1368" w:type="dxa"/>
            <w:vAlign w:val="bottom"/>
          </w:tcPr>
          <w:p w:rsidR="00000000" w:rsidRDefault="00657A20">
            <w:pPr>
              <w:jc w:val="right"/>
              <w:rPr>
                <w:rFonts w:ascii="Arial" w:hAnsi="Arial" w:cs="Arial"/>
                <w:b/>
                <w:bCs/>
              </w:rPr>
            </w:pPr>
            <w:r>
              <w:rPr>
                <w:rFonts w:ascii="Arial" w:hAnsi="Arial" w:cs="Arial"/>
                <w:b/>
                <w:bCs/>
              </w:rPr>
              <w:t>0.3</w:t>
            </w:r>
          </w:p>
        </w:tc>
        <w:tc>
          <w:tcPr>
            <w:tcW w:w="1368" w:type="dxa"/>
            <w:vAlign w:val="bottom"/>
          </w:tcPr>
          <w:p w:rsidR="00000000" w:rsidRDefault="00657A20">
            <w:pPr>
              <w:jc w:val="right"/>
              <w:rPr>
                <w:rFonts w:ascii="Arial" w:hAnsi="Arial" w:cs="Arial"/>
                <w:b/>
                <w:bCs/>
              </w:rPr>
            </w:pPr>
            <w:r>
              <w:rPr>
                <w:rFonts w:ascii="Arial" w:hAnsi="Arial" w:cs="Arial"/>
                <w:b/>
                <w:bCs/>
              </w:rPr>
              <w:t>0.07</w:t>
            </w:r>
          </w:p>
        </w:tc>
      </w:tr>
      <w:tr w:rsidR="00000000">
        <w:tblPrEx>
          <w:tblCellMar>
            <w:top w:w="0" w:type="dxa"/>
            <w:bottom w:w="0" w:type="dxa"/>
          </w:tblCellMar>
        </w:tblPrEx>
        <w:tc>
          <w:tcPr>
            <w:tcW w:w="1368" w:type="dxa"/>
          </w:tcPr>
          <w:p w:rsidR="00000000" w:rsidRDefault="00657A20">
            <w:pPr>
              <w:jc w:val="center"/>
              <w:rPr>
                <w:b/>
                <w:bCs/>
              </w:rPr>
            </w:pPr>
            <w:r>
              <w:rPr>
                <w:b/>
                <w:bCs/>
              </w:rPr>
              <w:t>17</w:t>
            </w:r>
          </w:p>
        </w:tc>
        <w:tc>
          <w:tcPr>
            <w:tcW w:w="1368" w:type="dxa"/>
            <w:vAlign w:val="bottom"/>
          </w:tcPr>
          <w:p w:rsidR="00000000" w:rsidRDefault="00657A20">
            <w:pPr>
              <w:jc w:val="right"/>
              <w:rPr>
                <w:rFonts w:ascii="Arial" w:hAnsi="Arial" w:cs="Arial"/>
                <w:b/>
                <w:bCs/>
              </w:rPr>
            </w:pPr>
            <w:r>
              <w:rPr>
                <w:rFonts w:ascii="Arial" w:hAnsi="Arial" w:cs="Arial"/>
                <w:b/>
                <w:bCs/>
              </w:rPr>
              <w:t>2.0</w:t>
            </w:r>
          </w:p>
        </w:tc>
        <w:tc>
          <w:tcPr>
            <w:tcW w:w="1368" w:type="dxa"/>
            <w:vAlign w:val="bottom"/>
          </w:tcPr>
          <w:p w:rsidR="00000000" w:rsidRDefault="00657A20">
            <w:pPr>
              <w:jc w:val="right"/>
              <w:rPr>
                <w:rFonts w:ascii="Arial" w:hAnsi="Arial" w:cs="Arial"/>
                <w:b/>
                <w:bCs/>
              </w:rPr>
            </w:pPr>
            <w:r>
              <w:rPr>
                <w:rFonts w:ascii="Arial" w:hAnsi="Arial" w:cs="Arial"/>
                <w:b/>
                <w:bCs/>
              </w:rPr>
              <w:t>0.5</w:t>
            </w:r>
          </w:p>
        </w:tc>
        <w:tc>
          <w:tcPr>
            <w:tcW w:w="1368" w:type="dxa"/>
            <w:vAlign w:val="bottom"/>
          </w:tcPr>
          <w:p w:rsidR="00000000" w:rsidRDefault="00657A20">
            <w:pPr>
              <w:jc w:val="right"/>
              <w:rPr>
                <w:rFonts w:ascii="Arial" w:hAnsi="Arial" w:cs="Arial"/>
                <w:b/>
                <w:bCs/>
              </w:rPr>
            </w:pPr>
            <w:r>
              <w:rPr>
                <w:rFonts w:ascii="Arial" w:hAnsi="Arial" w:cs="Arial"/>
                <w:b/>
                <w:bCs/>
              </w:rPr>
              <w:t>0.27</w:t>
            </w:r>
          </w:p>
        </w:tc>
        <w:tc>
          <w:tcPr>
            <w:tcW w:w="1368" w:type="dxa"/>
            <w:vAlign w:val="bottom"/>
          </w:tcPr>
          <w:p w:rsidR="00000000" w:rsidRDefault="00657A20">
            <w:pPr>
              <w:jc w:val="right"/>
              <w:rPr>
                <w:rFonts w:ascii="Arial" w:hAnsi="Arial" w:cs="Arial"/>
                <w:b/>
                <w:bCs/>
              </w:rPr>
            </w:pPr>
            <w:r>
              <w:rPr>
                <w:rFonts w:ascii="Arial" w:hAnsi="Arial" w:cs="Arial"/>
                <w:b/>
                <w:bCs/>
              </w:rPr>
              <w:t>1.5</w:t>
            </w:r>
          </w:p>
        </w:tc>
        <w:tc>
          <w:tcPr>
            <w:tcW w:w="1368" w:type="dxa"/>
            <w:vAlign w:val="bottom"/>
          </w:tcPr>
          <w:p w:rsidR="00000000" w:rsidRDefault="00657A20">
            <w:pPr>
              <w:jc w:val="right"/>
              <w:rPr>
                <w:rFonts w:ascii="Arial" w:hAnsi="Arial" w:cs="Arial"/>
                <w:b/>
                <w:bCs/>
              </w:rPr>
            </w:pPr>
            <w:r>
              <w:rPr>
                <w:rFonts w:ascii="Arial" w:hAnsi="Arial" w:cs="Arial"/>
                <w:b/>
                <w:bCs/>
              </w:rPr>
              <w:t>0.4</w:t>
            </w:r>
          </w:p>
        </w:tc>
        <w:tc>
          <w:tcPr>
            <w:tcW w:w="1368" w:type="dxa"/>
            <w:vAlign w:val="bottom"/>
          </w:tcPr>
          <w:p w:rsidR="00000000" w:rsidRDefault="00657A20">
            <w:pPr>
              <w:jc w:val="right"/>
              <w:rPr>
                <w:rFonts w:ascii="Arial" w:hAnsi="Arial" w:cs="Arial"/>
                <w:b/>
                <w:bCs/>
              </w:rPr>
            </w:pPr>
            <w:r>
              <w:rPr>
                <w:rFonts w:ascii="Arial" w:hAnsi="Arial" w:cs="Arial"/>
                <w:b/>
                <w:bCs/>
              </w:rPr>
              <w:t>0.13</w:t>
            </w:r>
          </w:p>
        </w:tc>
      </w:tr>
      <w:tr w:rsidR="00000000">
        <w:tblPrEx>
          <w:tblCellMar>
            <w:top w:w="0" w:type="dxa"/>
            <w:bottom w:w="0" w:type="dxa"/>
          </w:tblCellMar>
        </w:tblPrEx>
        <w:tc>
          <w:tcPr>
            <w:tcW w:w="1368" w:type="dxa"/>
          </w:tcPr>
          <w:p w:rsidR="00000000" w:rsidRDefault="00657A20">
            <w:pPr>
              <w:jc w:val="center"/>
              <w:rPr>
                <w:b/>
                <w:bCs/>
              </w:rPr>
            </w:pPr>
            <w:r>
              <w:rPr>
                <w:b/>
                <w:bCs/>
              </w:rPr>
              <w:t>18</w:t>
            </w:r>
          </w:p>
        </w:tc>
        <w:tc>
          <w:tcPr>
            <w:tcW w:w="1368" w:type="dxa"/>
            <w:vAlign w:val="bottom"/>
          </w:tcPr>
          <w:p w:rsidR="00000000" w:rsidRDefault="00657A20">
            <w:pPr>
              <w:jc w:val="right"/>
              <w:rPr>
                <w:rFonts w:ascii="Arial" w:hAnsi="Arial" w:cs="Arial"/>
                <w:b/>
                <w:bCs/>
              </w:rPr>
            </w:pPr>
            <w:r>
              <w:rPr>
                <w:rFonts w:ascii="Arial" w:hAnsi="Arial" w:cs="Arial"/>
                <w:b/>
                <w:bCs/>
              </w:rPr>
              <w:t>1.5</w:t>
            </w:r>
          </w:p>
        </w:tc>
        <w:tc>
          <w:tcPr>
            <w:tcW w:w="1368" w:type="dxa"/>
            <w:vAlign w:val="bottom"/>
          </w:tcPr>
          <w:p w:rsidR="00000000" w:rsidRDefault="00657A20">
            <w:pPr>
              <w:jc w:val="right"/>
              <w:rPr>
                <w:rFonts w:ascii="Arial" w:hAnsi="Arial" w:cs="Arial"/>
                <w:b/>
                <w:bCs/>
              </w:rPr>
            </w:pPr>
            <w:r>
              <w:rPr>
                <w:rFonts w:ascii="Arial" w:hAnsi="Arial" w:cs="Arial"/>
                <w:b/>
                <w:bCs/>
              </w:rPr>
              <w:t>0.0</w:t>
            </w:r>
          </w:p>
        </w:tc>
        <w:tc>
          <w:tcPr>
            <w:tcW w:w="1368" w:type="dxa"/>
            <w:vAlign w:val="bottom"/>
          </w:tcPr>
          <w:p w:rsidR="00000000" w:rsidRDefault="00657A20">
            <w:pPr>
              <w:jc w:val="right"/>
              <w:rPr>
                <w:rFonts w:ascii="Arial" w:hAnsi="Arial" w:cs="Arial"/>
                <w:b/>
                <w:bCs/>
              </w:rPr>
            </w:pPr>
            <w:r>
              <w:rPr>
                <w:rFonts w:ascii="Arial" w:hAnsi="Arial" w:cs="Arial"/>
                <w:b/>
                <w:bCs/>
              </w:rPr>
              <w:t>0.00</w:t>
            </w:r>
          </w:p>
        </w:tc>
        <w:tc>
          <w:tcPr>
            <w:tcW w:w="1368" w:type="dxa"/>
            <w:vAlign w:val="bottom"/>
          </w:tcPr>
          <w:p w:rsidR="00000000" w:rsidRDefault="00657A20">
            <w:pPr>
              <w:jc w:val="right"/>
              <w:rPr>
                <w:rFonts w:ascii="Arial" w:hAnsi="Arial" w:cs="Arial"/>
                <w:b/>
                <w:bCs/>
              </w:rPr>
            </w:pPr>
            <w:r>
              <w:rPr>
                <w:rFonts w:ascii="Arial" w:hAnsi="Arial" w:cs="Arial"/>
                <w:b/>
                <w:bCs/>
              </w:rPr>
              <w:t>1.7</w:t>
            </w:r>
          </w:p>
        </w:tc>
        <w:tc>
          <w:tcPr>
            <w:tcW w:w="1368" w:type="dxa"/>
            <w:vAlign w:val="bottom"/>
          </w:tcPr>
          <w:p w:rsidR="00000000" w:rsidRDefault="00657A20">
            <w:pPr>
              <w:jc w:val="right"/>
              <w:rPr>
                <w:rFonts w:ascii="Arial" w:hAnsi="Arial" w:cs="Arial"/>
                <w:b/>
                <w:bCs/>
              </w:rPr>
            </w:pPr>
            <w:r>
              <w:rPr>
                <w:rFonts w:ascii="Arial" w:hAnsi="Arial" w:cs="Arial"/>
                <w:b/>
                <w:bCs/>
              </w:rPr>
              <w:t>0.6</w:t>
            </w:r>
          </w:p>
        </w:tc>
        <w:tc>
          <w:tcPr>
            <w:tcW w:w="1368" w:type="dxa"/>
            <w:vAlign w:val="bottom"/>
          </w:tcPr>
          <w:p w:rsidR="00000000" w:rsidRDefault="00657A20">
            <w:pPr>
              <w:jc w:val="right"/>
              <w:rPr>
                <w:rFonts w:ascii="Arial" w:hAnsi="Arial" w:cs="Arial"/>
                <w:b/>
                <w:bCs/>
              </w:rPr>
            </w:pPr>
            <w:r>
              <w:rPr>
                <w:rFonts w:ascii="Arial" w:hAnsi="Arial" w:cs="Arial"/>
                <w:b/>
                <w:bCs/>
              </w:rPr>
              <w:t>0.32</w:t>
            </w:r>
          </w:p>
        </w:tc>
      </w:tr>
      <w:tr w:rsidR="00000000">
        <w:tblPrEx>
          <w:tblCellMar>
            <w:top w:w="0" w:type="dxa"/>
            <w:bottom w:w="0" w:type="dxa"/>
          </w:tblCellMar>
        </w:tblPrEx>
        <w:tc>
          <w:tcPr>
            <w:tcW w:w="1368" w:type="dxa"/>
          </w:tcPr>
          <w:p w:rsidR="00000000" w:rsidRDefault="00657A20">
            <w:pPr>
              <w:jc w:val="center"/>
              <w:rPr>
                <w:b/>
                <w:bCs/>
              </w:rPr>
            </w:pPr>
            <w:r>
              <w:rPr>
                <w:b/>
                <w:bCs/>
              </w:rPr>
              <w:t>19</w:t>
            </w:r>
          </w:p>
        </w:tc>
        <w:tc>
          <w:tcPr>
            <w:tcW w:w="1368" w:type="dxa"/>
            <w:vAlign w:val="bottom"/>
          </w:tcPr>
          <w:p w:rsidR="00000000" w:rsidRDefault="00657A20">
            <w:pPr>
              <w:jc w:val="right"/>
              <w:rPr>
                <w:rFonts w:ascii="Arial" w:hAnsi="Arial" w:cs="Arial"/>
                <w:b/>
                <w:bCs/>
              </w:rPr>
            </w:pPr>
            <w:r>
              <w:rPr>
                <w:rFonts w:ascii="Arial" w:hAnsi="Arial" w:cs="Arial"/>
                <w:b/>
                <w:bCs/>
              </w:rPr>
              <w:t>1.6</w:t>
            </w:r>
          </w:p>
        </w:tc>
        <w:tc>
          <w:tcPr>
            <w:tcW w:w="1368" w:type="dxa"/>
            <w:vAlign w:val="bottom"/>
          </w:tcPr>
          <w:p w:rsidR="00000000" w:rsidRDefault="00657A20">
            <w:pPr>
              <w:jc w:val="right"/>
              <w:rPr>
                <w:rFonts w:ascii="Arial" w:hAnsi="Arial" w:cs="Arial"/>
                <w:b/>
                <w:bCs/>
              </w:rPr>
            </w:pPr>
            <w:r>
              <w:rPr>
                <w:rFonts w:ascii="Arial" w:hAnsi="Arial" w:cs="Arial"/>
                <w:b/>
                <w:bCs/>
              </w:rPr>
              <w:t>0.1</w:t>
            </w:r>
          </w:p>
        </w:tc>
        <w:tc>
          <w:tcPr>
            <w:tcW w:w="1368" w:type="dxa"/>
            <w:vAlign w:val="bottom"/>
          </w:tcPr>
          <w:p w:rsidR="00000000" w:rsidRDefault="00657A20">
            <w:pPr>
              <w:jc w:val="right"/>
              <w:rPr>
                <w:rFonts w:ascii="Arial" w:hAnsi="Arial" w:cs="Arial"/>
                <w:b/>
                <w:bCs/>
              </w:rPr>
            </w:pPr>
            <w:r>
              <w:rPr>
                <w:rFonts w:ascii="Arial" w:hAnsi="Arial" w:cs="Arial"/>
                <w:b/>
                <w:bCs/>
              </w:rPr>
              <w:t>0.01</w:t>
            </w:r>
          </w:p>
        </w:tc>
        <w:tc>
          <w:tcPr>
            <w:tcW w:w="1368" w:type="dxa"/>
            <w:vAlign w:val="bottom"/>
          </w:tcPr>
          <w:p w:rsidR="00000000" w:rsidRDefault="00657A20">
            <w:pPr>
              <w:jc w:val="right"/>
              <w:rPr>
                <w:rFonts w:ascii="Arial" w:hAnsi="Arial" w:cs="Arial"/>
                <w:b/>
                <w:bCs/>
              </w:rPr>
            </w:pPr>
            <w:r>
              <w:rPr>
                <w:rFonts w:ascii="Arial" w:hAnsi="Arial" w:cs="Arial"/>
                <w:b/>
                <w:bCs/>
              </w:rPr>
              <w:t>3.0</w:t>
            </w:r>
          </w:p>
        </w:tc>
        <w:tc>
          <w:tcPr>
            <w:tcW w:w="1368" w:type="dxa"/>
            <w:vAlign w:val="bottom"/>
          </w:tcPr>
          <w:p w:rsidR="00000000" w:rsidRDefault="00657A20">
            <w:pPr>
              <w:jc w:val="right"/>
              <w:rPr>
                <w:rFonts w:ascii="Arial" w:hAnsi="Arial" w:cs="Arial"/>
                <w:b/>
                <w:bCs/>
              </w:rPr>
            </w:pPr>
            <w:r>
              <w:rPr>
                <w:rFonts w:ascii="Arial" w:hAnsi="Arial" w:cs="Arial"/>
                <w:b/>
                <w:bCs/>
              </w:rPr>
              <w:t>1.9</w:t>
            </w:r>
          </w:p>
        </w:tc>
        <w:tc>
          <w:tcPr>
            <w:tcW w:w="1368" w:type="dxa"/>
            <w:vAlign w:val="bottom"/>
          </w:tcPr>
          <w:p w:rsidR="00000000" w:rsidRDefault="00657A20">
            <w:pPr>
              <w:jc w:val="right"/>
              <w:rPr>
                <w:rFonts w:ascii="Arial" w:hAnsi="Arial" w:cs="Arial"/>
                <w:b/>
                <w:bCs/>
              </w:rPr>
            </w:pPr>
            <w:r>
              <w:rPr>
                <w:rFonts w:ascii="Arial" w:hAnsi="Arial" w:cs="Arial"/>
                <w:b/>
                <w:bCs/>
              </w:rPr>
              <w:t>3.48</w:t>
            </w:r>
          </w:p>
        </w:tc>
      </w:tr>
      <w:tr w:rsidR="00000000">
        <w:tblPrEx>
          <w:tblCellMar>
            <w:top w:w="0" w:type="dxa"/>
            <w:bottom w:w="0" w:type="dxa"/>
          </w:tblCellMar>
        </w:tblPrEx>
        <w:tc>
          <w:tcPr>
            <w:tcW w:w="1368" w:type="dxa"/>
          </w:tcPr>
          <w:p w:rsidR="00000000" w:rsidRDefault="00657A20">
            <w:pPr>
              <w:jc w:val="center"/>
              <w:rPr>
                <w:b/>
                <w:bCs/>
              </w:rPr>
            </w:pPr>
            <w:r>
              <w:rPr>
                <w:b/>
                <w:bCs/>
              </w:rPr>
              <w:t>20</w:t>
            </w:r>
          </w:p>
        </w:tc>
        <w:tc>
          <w:tcPr>
            <w:tcW w:w="1368" w:type="dxa"/>
            <w:vAlign w:val="bottom"/>
          </w:tcPr>
          <w:p w:rsidR="00000000" w:rsidRDefault="00657A20">
            <w:pPr>
              <w:jc w:val="right"/>
              <w:rPr>
                <w:rFonts w:ascii="Arial" w:hAnsi="Arial" w:cs="Arial"/>
                <w:b/>
                <w:bCs/>
              </w:rPr>
            </w:pPr>
            <w:r>
              <w:rPr>
                <w:rFonts w:ascii="Arial" w:hAnsi="Arial" w:cs="Arial"/>
                <w:b/>
                <w:bCs/>
              </w:rPr>
              <w:t>1.1</w:t>
            </w:r>
          </w:p>
        </w:tc>
        <w:tc>
          <w:tcPr>
            <w:tcW w:w="1368" w:type="dxa"/>
            <w:vAlign w:val="bottom"/>
          </w:tcPr>
          <w:p w:rsidR="00000000" w:rsidRDefault="00657A20">
            <w:pPr>
              <w:jc w:val="right"/>
              <w:rPr>
                <w:rFonts w:ascii="Arial" w:hAnsi="Arial" w:cs="Arial"/>
                <w:b/>
                <w:bCs/>
              </w:rPr>
            </w:pPr>
            <w:r>
              <w:rPr>
                <w:rFonts w:ascii="Arial" w:hAnsi="Arial" w:cs="Arial"/>
                <w:b/>
                <w:bCs/>
              </w:rPr>
              <w:t>-0.4</w:t>
            </w:r>
          </w:p>
        </w:tc>
        <w:tc>
          <w:tcPr>
            <w:tcW w:w="1368" w:type="dxa"/>
            <w:vAlign w:val="bottom"/>
          </w:tcPr>
          <w:p w:rsidR="00000000" w:rsidRDefault="00657A20">
            <w:pPr>
              <w:jc w:val="right"/>
              <w:rPr>
                <w:rFonts w:ascii="Arial" w:hAnsi="Arial" w:cs="Arial"/>
                <w:b/>
                <w:bCs/>
              </w:rPr>
            </w:pPr>
            <w:r>
              <w:rPr>
                <w:rFonts w:ascii="Arial" w:hAnsi="Arial" w:cs="Arial"/>
                <w:b/>
                <w:bCs/>
              </w:rPr>
              <w:t>0.14</w:t>
            </w:r>
          </w:p>
        </w:tc>
        <w:tc>
          <w:tcPr>
            <w:tcW w:w="1368" w:type="dxa"/>
            <w:vAlign w:val="bottom"/>
          </w:tcPr>
          <w:p w:rsidR="00000000" w:rsidRDefault="00657A20">
            <w:pPr>
              <w:jc w:val="right"/>
              <w:rPr>
                <w:rFonts w:ascii="Arial" w:hAnsi="Arial" w:cs="Arial"/>
                <w:b/>
                <w:bCs/>
              </w:rPr>
            </w:pPr>
            <w:r>
              <w:rPr>
                <w:rFonts w:ascii="Arial" w:hAnsi="Arial" w:cs="Arial"/>
                <w:b/>
                <w:bCs/>
              </w:rPr>
              <w:t>3.1</w:t>
            </w:r>
          </w:p>
        </w:tc>
        <w:tc>
          <w:tcPr>
            <w:tcW w:w="1368" w:type="dxa"/>
            <w:vAlign w:val="bottom"/>
          </w:tcPr>
          <w:p w:rsidR="00000000" w:rsidRDefault="00657A20">
            <w:pPr>
              <w:jc w:val="right"/>
              <w:rPr>
                <w:rFonts w:ascii="Arial" w:hAnsi="Arial" w:cs="Arial"/>
                <w:b/>
                <w:bCs/>
              </w:rPr>
            </w:pPr>
            <w:r>
              <w:rPr>
                <w:rFonts w:ascii="Arial" w:hAnsi="Arial" w:cs="Arial"/>
                <w:b/>
                <w:bCs/>
              </w:rPr>
              <w:t>2.0</w:t>
            </w:r>
          </w:p>
        </w:tc>
        <w:tc>
          <w:tcPr>
            <w:tcW w:w="1368" w:type="dxa"/>
            <w:vAlign w:val="bottom"/>
          </w:tcPr>
          <w:p w:rsidR="00000000" w:rsidRDefault="00657A20">
            <w:pPr>
              <w:jc w:val="right"/>
              <w:rPr>
                <w:rFonts w:ascii="Arial" w:hAnsi="Arial" w:cs="Arial"/>
                <w:b/>
                <w:bCs/>
              </w:rPr>
            </w:pPr>
            <w:r>
              <w:rPr>
                <w:rFonts w:ascii="Arial" w:hAnsi="Arial" w:cs="Arial"/>
                <w:b/>
                <w:bCs/>
              </w:rPr>
              <w:t>3.86</w:t>
            </w:r>
          </w:p>
        </w:tc>
      </w:tr>
    </w:tbl>
    <w:p w:rsidR="00000000" w:rsidRDefault="00657A20">
      <w:pPr>
        <w:pStyle w:val="Heading2"/>
        <w:widowControl/>
        <w:tabs>
          <w:tab w:val="clear" w:pos="3616"/>
        </w:tabs>
        <w:autoSpaceDE/>
        <w:autoSpaceDN/>
        <w:adjustRightInd/>
        <w:rPr>
          <w:bCs/>
        </w:rPr>
      </w:pPr>
    </w:p>
    <w:p w:rsidR="00000000" w:rsidRDefault="00657A20">
      <w:pPr>
        <w:pStyle w:val="Heading2"/>
        <w:widowControl/>
        <w:tabs>
          <w:tab w:val="clear" w:pos="3616"/>
        </w:tabs>
        <w:autoSpaceDE/>
        <w:autoSpaceDN/>
        <w:adjustRightInd/>
        <w:rPr>
          <w:bCs/>
        </w:rPr>
      </w:pPr>
      <w:r>
        <w:rPr>
          <w:rFonts w:ascii="Arial" w:hAnsi="Arial" w:cs="Arial"/>
          <w:noProof/>
        </w:rPr>
        <w:pict>
          <v:shapetype id="_x0000_t202" coordsize="21600,21600" o:spt="202" path="m,l,21600r21600,l21600,xe">
            <v:stroke joinstyle="miter"/>
            <v:path gradientshapeok="t" o:connecttype="rect"/>
          </v:shapetype>
          <v:shape id="_x0000_s1036" type="#_x0000_t202" style="position:absolute;margin-left:283.05pt;margin-top:1.4pt;width:198pt;height:343.6pt;z-index:251658752" stroked="f" strokeweight="3pt">
            <v:textbox style="mso-next-textbox:#_x0000_s1036">
              <w:txbxContent>
                <w:p w:rsidR="00000000" w:rsidRDefault="00657A20">
                  <w:pPr>
                    <w:pStyle w:val="Heading6"/>
                  </w:pPr>
                  <w:r>
                    <w:t>ICV</w:t>
                  </w:r>
                </w:p>
                <w:p w:rsidR="00000000" w:rsidRDefault="00657A20">
                  <w:pPr>
                    <w:rPr>
                      <w:sz w:val="24"/>
                    </w:rPr>
                  </w:pPr>
                  <w:r>
                    <w:rPr>
                      <w:position w:val="-30"/>
                    </w:rPr>
                    <w:object w:dxaOrig="3280" w:dyaOrig="720">
                      <v:shape id="_x0000_i1097" type="#_x0000_t75" style="width:163.5pt;height:36pt" o:ole="" fillcolor="window">
                        <v:imagedata r:id="rId113" o:title=""/>
                      </v:shape>
                      <o:OLEObject Type="Embed" ProgID="Equation.3" ShapeID="_x0000_i1097" DrawAspect="Content" ObjectID="_1742211852" r:id="rId114"/>
                    </w:object>
                  </w:r>
                </w:p>
                <w:p w:rsidR="00000000" w:rsidRDefault="00657A20">
                  <w:pPr>
                    <w:spacing w:line="360" w:lineRule="auto"/>
                    <w:rPr>
                      <w:sz w:val="24"/>
                    </w:rPr>
                  </w:pPr>
                  <w:r>
                    <w:rPr>
                      <w:sz w:val="24"/>
                    </w:rPr>
                    <w:t>%</w:t>
                  </w:r>
                  <w:r>
                    <w:rPr>
                      <w:position w:val="-4"/>
                      <w:sz w:val="24"/>
                    </w:rPr>
                    <w:object w:dxaOrig="260" w:dyaOrig="320">
                      <v:shape id="_x0000_i1098" type="#_x0000_t75" style="width:12.75pt;height:15.75pt" o:ole="" fillcolor="window">
                        <v:imagedata r:id="rId25" o:title=""/>
                      </v:shape>
                      <o:OLEObject Type="Embed" ProgID="Equation.3" ShapeID="_x0000_i1098" DrawAspect="Content" ObjectID="_1742211853" r:id="rId115"/>
                    </w:object>
                  </w:r>
                  <w:r>
                    <w:rPr>
                      <w:sz w:val="24"/>
                    </w:rPr>
                    <w:t>= 32.6/20 =1.1%</w:t>
                  </w:r>
                </w:p>
                <w:p w:rsidR="00000000" w:rsidRDefault="00657A20">
                  <w:pPr>
                    <w:rPr>
                      <w:position w:val="-4"/>
                      <w:sz w:val="24"/>
                    </w:rPr>
                  </w:pPr>
                  <w:r>
                    <w:rPr>
                      <w:position w:val="-10"/>
                    </w:rPr>
                    <w:object w:dxaOrig="1760" w:dyaOrig="380">
                      <v:shape id="_x0000_i1099" type="#_x0000_t75" style="width:87.75pt;height:18.75pt" o:ole="" fillcolor="window">
                        <v:imagedata r:id="rId116" o:title=""/>
                      </v:shape>
                      <o:OLEObject Type="Embed" ProgID="Equation.3" ShapeID="_x0000_i1099" DrawAspect="Content" ObjectID="_1742211854" r:id="rId117"/>
                    </w:object>
                  </w:r>
                  <w:r>
                    <w:rPr>
                      <w:position w:val="-4"/>
                      <w:sz w:val="24"/>
                    </w:rPr>
                    <w:t>=100+1.1=101.1%</w:t>
                  </w:r>
                </w:p>
                <w:p w:rsidR="00000000" w:rsidRDefault="00657A20">
                  <w:pPr>
                    <w:rPr>
                      <w:position w:val="-30"/>
                    </w:rPr>
                  </w:pPr>
                  <w:r>
                    <w:rPr>
                      <w:position w:val="-68"/>
                    </w:rPr>
                    <w:object w:dxaOrig="3300" w:dyaOrig="1520">
                      <v:shape id="_x0000_i1100" type="#_x0000_t75" style="width:171pt;height:75.75pt" o:ole="" fillcolor="window">
                        <v:imagedata r:id="rId118" o:title=""/>
                      </v:shape>
                      <o:OLEObject Type="Embed" ProgID="Equation.3" ShapeID="_x0000_i1100" DrawAspect="Content" ObjectID="_1742211855" r:id="rId119"/>
                    </w:object>
                  </w:r>
                  <w:r>
                    <w:rPr>
                      <w:position w:val="-68"/>
                    </w:rPr>
                    <w:object w:dxaOrig="3060" w:dyaOrig="1480">
                      <v:shape id="_x0000_i1101" type="#_x0000_t75" style="width:159.75pt;height:74.25pt" o:ole="" fillcolor="window">
                        <v:imagedata r:id="rId120" o:title=""/>
                      </v:shape>
                      <o:OLEObject Type="Embed" ProgID="Equation.3" ShapeID="_x0000_i1101" DrawAspect="Content" ObjectID="_1742211856" r:id="rId121"/>
                    </w:object>
                  </w:r>
                </w:p>
                <w:p w:rsidR="00000000" w:rsidRDefault="00657A20">
                  <w:pPr>
                    <w:rPr>
                      <w:b/>
                      <w:bCs/>
                      <w:sz w:val="24"/>
                    </w:rPr>
                  </w:pPr>
                  <w:r>
                    <w:rPr>
                      <w:position w:val="-68"/>
                    </w:rPr>
                    <w:object w:dxaOrig="3519" w:dyaOrig="1520">
                      <v:shape id="_x0000_i1102" type="#_x0000_t75" style="width:172.5pt;height:82.5pt" o:ole="">
                        <v:imagedata r:id="rId122" o:title=""/>
                      </v:shape>
                      <o:OLEObject Type="Embed" ProgID="Equation.3" ShapeID="_x0000_i1102" DrawAspect="Content" ObjectID="_1742211857" r:id="rId123"/>
                    </w:object>
                  </w:r>
                </w:p>
              </w:txbxContent>
            </v:textbox>
          </v:shape>
        </w:pict>
      </w:r>
      <w:r>
        <w:rPr>
          <w:b w:val="0"/>
          <w:bCs/>
          <w:noProof/>
        </w:rPr>
        <w:pict>
          <v:shape id="_x0000_s1035" type="#_x0000_t202" style="position:absolute;margin-left:76.05pt;margin-top:.8pt;width:198pt;height:342.6pt;z-index:251657728" filled="f" stroked="f" strokeweight="3pt">
            <v:textbox style="mso-next-textbox:#_x0000_s1035">
              <w:txbxContent>
                <w:p w:rsidR="00000000" w:rsidRDefault="00657A20">
                  <w:pPr>
                    <w:pStyle w:val="Heading6"/>
                  </w:pPr>
                  <w:r>
                    <w:t>ICS</w:t>
                  </w:r>
                </w:p>
                <w:p w:rsidR="00000000" w:rsidRDefault="00657A20">
                  <w:pPr>
                    <w:rPr>
                      <w:position w:val="-30"/>
                    </w:rPr>
                  </w:pPr>
                  <w:r>
                    <w:rPr>
                      <w:position w:val="-30"/>
                    </w:rPr>
                    <w:object w:dxaOrig="3280" w:dyaOrig="720">
                      <v:shape id="_x0000_i1103" type="#_x0000_t75" style="width:163.5pt;height:36pt" o:ole="" fillcolor="window">
                        <v:imagedata r:id="rId113" o:title=""/>
                      </v:shape>
                      <o:OLEObject Type="Embed" ProgID="Equation.3" ShapeID="_x0000_i1103" DrawAspect="Content" ObjectID="_1742211846" r:id="rId124"/>
                    </w:object>
                  </w:r>
                </w:p>
                <w:p w:rsidR="00000000" w:rsidRDefault="00657A20">
                  <w:pPr>
                    <w:pStyle w:val="BodyText"/>
                    <w:spacing w:line="360" w:lineRule="auto"/>
                  </w:pPr>
                  <w:r>
                    <w:t>%</w:t>
                  </w:r>
                  <w:r>
                    <w:rPr>
                      <w:position w:val="-4"/>
                    </w:rPr>
                    <w:object w:dxaOrig="260" w:dyaOrig="320">
                      <v:shape id="_x0000_i1104" type="#_x0000_t75" style="width:12.75pt;height:15.75pt" o:ole="" fillcolor="window">
                        <v:imagedata r:id="rId25" o:title=""/>
                      </v:shape>
                      <o:OLEObject Type="Embed" ProgID="Equation.3" ShapeID="_x0000_i1104" DrawAspect="Content" ObjectID="_1742211847" r:id="rId125"/>
                    </w:object>
                  </w:r>
                  <w:r>
                    <w:t>=12.7/20=1.5%</w:t>
                  </w:r>
                </w:p>
                <w:p w:rsidR="00000000" w:rsidRDefault="00657A20">
                  <w:pPr>
                    <w:pStyle w:val="BodyText"/>
                    <w:spacing w:line="360" w:lineRule="auto"/>
                  </w:pPr>
                  <w:r>
                    <w:rPr>
                      <w:position w:val="-10"/>
                    </w:rPr>
                    <w:object w:dxaOrig="1760" w:dyaOrig="380">
                      <v:shape id="_x0000_i1105" type="#_x0000_t75" style="width:87.75pt;height:18.75pt" o:ole="" fillcolor="window">
                        <v:imagedata r:id="rId35" o:title=""/>
                      </v:shape>
                      <o:OLEObject Type="Embed" ProgID="Equation.3" ShapeID="_x0000_i1105" DrawAspect="Content" ObjectID="_1742211848" r:id="rId126"/>
                    </w:object>
                  </w:r>
                  <w:r>
                    <w:t>=100+1.5=101.5%</w:t>
                  </w:r>
                </w:p>
                <w:p w:rsidR="00000000" w:rsidRDefault="00657A20">
                  <w:pPr>
                    <w:pStyle w:val="BodyText"/>
                    <w:spacing w:line="360" w:lineRule="auto"/>
                    <w:rPr>
                      <w:position w:val="-30"/>
                    </w:rPr>
                  </w:pPr>
                  <w:r>
                    <w:rPr>
                      <w:position w:val="-68"/>
                    </w:rPr>
                    <w:object w:dxaOrig="3260" w:dyaOrig="1520">
                      <v:shape id="_x0000_i1106" type="#_x0000_t75" style="width:174.75pt;height:75.75pt" o:ole="" fillcolor="window">
                        <v:imagedata r:id="rId127" o:title=""/>
                      </v:shape>
                      <o:OLEObject Type="Embed" ProgID="Equation.3" ShapeID="_x0000_i1106" DrawAspect="Content" ObjectID="_1742211849" r:id="rId128"/>
                    </w:object>
                  </w:r>
                  <w:r>
                    <w:rPr>
                      <w:position w:val="-68"/>
                    </w:rPr>
                    <w:object w:dxaOrig="3019" w:dyaOrig="1480">
                      <v:shape id="_x0000_i1107" type="#_x0000_t75" style="width:167.25pt;height:65.25pt" o:ole="" fillcolor="window">
                        <v:imagedata r:id="rId129" o:title=""/>
                      </v:shape>
                      <o:OLEObject Type="Embed" ProgID="Equation.3" ShapeID="_x0000_i1107" DrawAspect="Content" ObjectID="_1742211850" r:id="rId130"/>
                    </w:object>
                  </w:r>
                </w:p>
                <w:p w:rsidR="00000000" w:rsidRDefault="00657A20">
                  <w:r>
                    <w:rPr>
                      <w:position w:val="-68"/>
                      <w:sz w:val="24"/>
                    </w:rPr>
                    <w:object w:dxaOrig="3519" w:dyaOrig="1520">
                      <v:shape id="_x0000_i1108" type="#_x0000_t75" style="width:184.5pt;height:75pt" o:ole="">
                        <v:imagedata r:id="rId131" o:title=""/>
                      </v:shape>
                      <o:OLEObject Type="Embed" ProgID="Equation.3" ShapeID="_x0000_i1108" DrawAspect="Content" ObjectID="_1742211851" r:id="rId132"/>
                    </w:object>
                  </w:r>
                </w:p>
              </w:txbxContent>
            </v:textbox>
          </v:shape>
        </w:pict>
      </w:r>
    </w:p>
    <w:p w:rsidR="00000000" w:rsidRDefault="00657A20">
      <w:pPr>
        <w:pStyle w:val="Heading2"/>
        <w:widowControl/>
        <w:tabs>
          <w:tab w:val="clear" w:pos="3616"/>
        </w:tabs>
        <w:autoSpaceDE/>
        <w:autoSpaceDN/>
        <w:adjustRightInd/>
        <w:rPr>
          <w:bCs/>
        </w:rPr>
      </w:pPr>
    </w:p>
    <w:p w:rsidR="00000000" w:rsidRDefault="00657A20">
      <w:pPr>
        <w:pStyle w:val="Heading2"/>
        <w:widowControl/>
        <w:tabs>
          <w:tab w:val="clear" w:pos="3616"/>
        </w:tabs>
        <w:autoSpaceDE/>
        <w:autoSpaceDN/>
        <w:adjustRightInd/>
        <w:rPr>
          <w:bCs/>
          <w:u w:val="single"/>
        </w:rPr>
      </w:pPr>
      <w:r>
        <w:rPr>
          <w:bCs/>
          <w:u w:val="single"/>
        </w:rPr>
        <w:t>Equation</w:t>
      </w:r>
      <w:r>
        <w:rPr>
          <w:bCs/>
          <w:u w:val="single"/>
        </w:rPr>
        <w:t xml:space="preserve"> A.6</w:t>
      </w:r>
    </w:p>
    <w:p w:rsidR="00000000" w:rsidRDefault="00657A20">
      <w:pPr>
        <w:pStyle w:val="Heading2"/>
        <w:widowControl/>
        <w:tabs>
          <w:tab w:val="clear" w:pos="3616"/>
        </w:tabs>
        <w:autoSpaceDE/>
        <w:autoSpaceDN/>
        <w:adjustRightInd/>
        <w:rPr>
          <w:bCs/>
        </w:rPr>
      </w:pPr>
    </w:p>
    <w:p w:rsidR="00000000" w:rsidRDefault="00657A20">
      <w:pPr>
        <w:pStyle w:val="Heading2"/>
        <w:widowControl/>
        <w:tabs>
          <w:tab w:val="clear" w:pos="3616"/>
        </w:tabs>
        <w:autoSpaceDE/>
        <w:autoSpaceDN/>
        <w:adjustRightInd/>
        <w:rPr>
          <w:bCs/>
        </w:rPr>
      </w:pPr>
    </w:p>
    <w:p w:rsidR="00000000" w:rsidRDefault="00657A20">
      <w:pPr>
        <w:pStyle w:val="Heading2"/>
        <w:widowControl/>
        <w:tabs>
          <w:tab w:val="clear" w:pos="3616"/>
        </w:tabs>
        <w:autoSpaceDE/>
        <w:autoSpaceDN/>
        <w:adjustRightInd/>
        <w:rPr>
          <w:bCs/>
        </w:rPr>
      </w:pPr>
    </w:p>
    <w:p w:rsidR="00000000" w:rsidRDefault="00657A20">
      <w:pPr>
        <w:pStyle w:val="Heading2"/>
        <w:widowControl/>
        <w:tabs>
          <w:tab w:val="clear" w:pos="3616"/>
        </w:tabs>
        <w:autoSpaceDE/>
        <w:autoSpaceDN/>
        <w:adjustRightInd/>
        <w:rPr>
          <w:bCs/>
          <w:u w:val="single"/>
        </w:rPr>
      </w:pPr>
      <w:r>
        <w:rPr>
          <w:bCs/>
          <w:u w:val="single"/>
        </w:rPr>
        <w:t>Equation A.7</w:t>
      </w:r>
    </w:p>
    <w:p w:rsidR="00000000" w:rsidRDefault="00657A20">
      <w:pPr>
        <w:pStyle w:val="Heading2"/>
        <w:widowControl/>
        <w:tabs>
          <w:tab w:val="clear" w:pos="3616"/>
        </w:tabs>
        <w:autoSpaceDE/>
        <w:autoSpaceDN/>
        <w:adjustRightInd/>
        <w:rPr>
          <w:bCs/>
        </w:rPr>
      </w:pPr>
    </w:p>
    <w:p w:rsidR="00000000" w:rsidRDefault="00657A20">
      <w:pPr>
        <w:pStyle w:val="Heading2"/>
        <w:widowControl/>
        <w:tabs>
          <w:tab w:val="clear" w:pos="3616"/>
        </w:tabs>
        <w:autoSpaceDE/>
        <w:autoSpaceDN/>
        <w:adjustRightInd/>
        <w:rPr>
          <w:bCs/>
        </w:rPr>
      </w:pPr>
    </w:p>
    <w:p w:rsidR="00000000" w:rsidRDefault="00657A20">
      <w:pPr>
        <w:pStyle w:val="Heading2"/>
        <w:widowControl/>
        <w:tabs>
          <w:tab w:val="clear" w:pos="3616"/>
        </w:tabs>
        <w:autoSpaceDE/>
        <w:autoSpaceDN/>
        <w:adjustRightInd/>
        <w:rPr>
          <w:bCs/>
        </w:rPr>
      </w:pPr>
    </w:p>
    <w:p w:rsidR="00000000" w:rsidRDefault="00657A20">
      <w:pPr>
        <w:pStyle w:val="Heading2"/>
        <w:widowControl/>
        <w:tabs>
          <w:tab w:val="clear" w:pos="3616"/>
        </w:tabs>
        <w:autoSpaceDE/>
        <w:autoSpaceDN/>
        <w:adjustRightInd/>
        <w:rPr>
          <w:bCs/>
          <w:u w:val="single"/>
        </w:rPr>
      </w:pPr>
      <w:r>
        <w:rPr>
          <w:bCs/>
          <w:u w:val="single"/>
        </w:rPr>
        <w:t>Equation A.8</w:t>
      </w:r>
    </w:p>
    <w:p w:rsidR="00000000" w:rsidRDefault="00657A20">
      <w:pPr>
        <w:pStyle w:val="Heading2"/>
        <w:widowControl/>
        <w:tabs>
          <w:tab w:val="clear" w:pos="3616"/>
        </w:tabs>
        <w:autoSpaceDE/>
        <w:autoSpaceDN/>
        <w:adjustRightInd/>
        <w:rPr>
          <w:bCs/>
        </w:rPr>
      </w:pPr>
    </w:p>
    <w:p w:rsidR="00000000" w:rsidRDefault="00657A20">
      <w:pPr>
        <w:pStyle w:val="Heading2"/>
        <w:widowControl/>
        <w:tabs>
          <w:tab w:val="clear" w:pos="3616"/>
        </w:tabs>
        <w:autoSpaceDE/>
        <w:autoSpaceDN/>
        <w:adjustRightInd/>
        <w:rPr>
          <w:bCs/>
        </w:rPr>
      </w:pPr>
    </w:p>
    <w:p w:rsidR="00000000" w:rsidRDefault="00657A20">
      <w:pPr>
        <w:rPr>
          <w:sz w:val="24"/>
        </w:rPr>
      </w:pPr>
      <w:r>
        <w:rPr>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8"/>
        <w:gridCol w:w="1368"/>
        <w:gridCol w:w="1368"/>
        <w:gridCol w:w="1368"/>
        <w:gridCol w:w="1368"/>
        <w:gridCol w:w="1368"/>
        <w:gridCol w:w="1368"/>
      </w:tblGrid>
      <w:tr w:rsidR="00000000">
        <w:tblPrEx>
          <w:tblCellMar>
            <w:top w:w="0" w:type="dxa"/>
            <w:bottom w:w="0" w:type="dxa"/>
          </w:tblCellMar>
        </w:tblPrEx>
        <w:trPr>
          <w:cantSplit/>
        </w:trPr>
        <w:tc>
          <w:tcPr>
            <w:tcW w:w="1368" w:type="dxa"/>
            <w:vMerge w:val="restart"/>
          </w:tcPr>
          <w:p w:rsidR="00000000" w:rsidRDefault="00657A20">
            <w:pPr>
              <w:jc w:val="center"/>
              <w:rPr>
                <w:b/>
                <w:bCs/>
                <w:sz w:val="24"/>
              </w:rPr>
            </w:pPr>
            <w:r>
              <w:rPr>
                <w:b/>
                <w:bCs/>
                <w:sz w:val="24"/>
              </w:rPr>
              <w:t>Replicate Number</w:t>
            </w:r>
          </w:p>
        </w:tc>
        <w:tc>
          <w:tcPr>
            <w:tcW w:w="4104" w:type="dxa"/>
            <w:gridSpan w:val="3"/>
          </w:tcPr>
          <w:p w:rsidR="00000000" w:rsidRDefault="00657A20">
            <w:pPr>
              <w:jc w:val="center"/>
              <w:rPr>
                <w:b/>
                <w:bCs/>
                <w:sz w:val="24"/>
              </w:rPr>
            </w:pPr>
            <w:r>
              <w:rPr>
                <w:b/>
                <w:bCs/>
                <w:sz w:val="24"/>
              </w:rPr>
              <w:t>LCS</w:t>
            </w:r>
          </w:p>
        </w:tc>
        <w:tc>
          <w:tcPr>
            <w:tcW w:w="4104" w:type="dxa"/>
            <w:gridSpan w:val="3"/>
          </w:tcPr>
          <w:p w:rsidR="00000000" w:rsidRDefault="00657A20">
            <w:pPr>
              <w:pStyle w:val="Heading6"/>
            </w:pPr>
            <w:r>
              <w:t>MIS</w:t>
            </w:r>
          </w:p>
        </w:tc>
      </w:tr>
      <w:tr w:rsidR="00000000">
        <w:tblPrEx>
          <w:tblCellMar>
            <w:top w:w="0" w:type="dxa"/>
            <w:bottom w:w="0" w:type="dxa"/>
          </w:tblCellMar>
        </w:tblPrEx>
        <w:trPr>
          <w:cantSplit/>
        </w:trPr>
        <w:tc>
          <w:tcPr>
            <w:tcW w:w="1368" w:type="dxa"/>
            <w:vMerge/>
          </w:tcPr>
          <w:p w:rsidR="00000000" w:rsidRDefault="00657A20">
            <w:pPr>
              <w:jc w:val="center"/>
              <w:rPr>
                <w:sz w:val="24"/>
              </w:rPr>
            </w:pPr>
          </w:p>
        </w:tc>
        <w:tc>
          <w:tcPr>
            <w:tcW w:w="1368" w:type="dxa"/>
          </w:tcPr>
          <w:p w:rsidR="00000000" w:rsidRDefault="00657A20">
            <w:pPr>
              <w:jc w:val="center"/>
              <w:rPr>
                <w:b/>
                <w:bCs/>
                <w:i/>
                <w:iCs/>
                <w:sz w:val="22"/>
              </w:rPr>
            </w:pPr>
            <w:r>
              <w:rPr>
                <w:b/>
                <w:bCs/>
                <w:i/>
                <w:iCs/>
                <w:sz w:val="22"/>
              </w:rPr>
              <w:t>%D</w:t>
            </w:r>
          </w:p>
        </w:tc>
        <w:tc>
          <w:tcPr>
            <w:tcW w:w="1368" w:type="dxa"/>
          </w:tcPr>
          <w:p w:rsidR="00000000" w:rsidRDefault="00657A20">
            <w:pPr>
              <w:jc w:val="center"/>
              <w:rPr>
                <w:b/>
                <w:bCs/>
                <w:i/>
                <w:iCs/>
                <w:sz w:val="22"/>
              </w:rPr>
            </w:pPr>
            <w:r>
              <w:rPr>
                <w:b/>
                <w:bCs/>
                <w:i/>
                <w:iCs/>
                <w:sz w:val="22"/>
              </w:rPr>
              <w:t>%D -%</w:t>
            </w:r>
            <w:r>
              <w:rPr>
                <w:b/>
                <w:bCs/>
                <w:i/>
                <w:iCs/>
                <w:position w:val="-4"/>
                <w:sz w:val="22"/>
              </w:rPr>
              <w:object w:dxaOrig="260" w:dyaOrig="320">
                <v:shape id="_x0000_i1078" type="#_x0000_t75" style="width:12.75pt;height:15.75pt" o:ole="" fillcolor="window">
                  <v:imagedata r:id="rId25" o:title=""/>
                </v:shape>
                <o:OLEObject Type="Embed" ProgID="Equation.3" ShapeID="_x0000_i1078" DrawAspect="Content" ObjectID="_1742211812" r:id="rId133"/>
              </w:object>
            </w:r>
          </w:p>
        </w:tc>
        <w:tc>
          <w:tcPr>
            <w:tcW w:w="1368" w:type="dxa"/>
          </w:tcPr>
          <w:p w:rsidR="00000000" w:rsidRDefault="00657A20">
            <w:pPr>
              <w:jc w:val="center"/>
              <w:rPr>
                <w:b/>
                <w:bCs/>
                <w:i/>
                <w:iCs/>
                <w:sz w:val="22"/>
                <w:vertAlign w:val="superscript"/>
              </w:rPr>
            </w:pPr>
            <w:r>
              <w:rPr>
                <w:b/>
                <w:bCs/>
                <w:i/>
                <w:iCs/>
                <w:sz w:val="22"/>
              </w:rPr>
              <w:t>(%D-%</w:t>
            </w:r>
            <w:r>
              <w:rPr>
                <w:b/>
                <w:bCs/>
                <w:i/>
                <w:iCs/>
                <w:position w:val="-4"/>
                <w:sz w:val="22"/>
              </w:rPr>
              <w:object w:dxaOrig="260" w:dyaOrig="320">
                <v:shape id="_x0000_i1079" type="#_x0000_t75" style="width:12.75pt;height:15.75pt" o:ole="" fillcolor="window">
                  <v:imagedata r:id="rId25" o:title=""/>
                </v:shape>
                <o:OLEObject Type="Embed" ProgID="Equation.3" ShapeID="_x0000_i1079" DrawAspect="Content" ObjectID="_1742211813" r:id="rId134"/>
              </w:object>
            </w:r>
            <w:r>
              <w:rPr>
                <w:b/>
                <w:bCs/>
                <w:i/>
                <w:iCs/>
                <w:sz w:val="22"/>
              </w:rPr>
              <w:t>)</w:t>
            </w:r>
            <w:r>
              <w:rPr>
                <w:b/>
                <w:bCs/>
                <w:i/>
                <w:iCs/>
                <w:sz w:val="22"/>
                <w:vertAlign w:val="superscript"/>
              </w:rPr>
              <w:t>2</w:t>
            </w:r>
          </w:p>
        </w:tc>
        <w:tc>
          <w:tcPr>
            <w:tcW w:w="1368" w:type="dxa"/>
          </w:tcPr>
          <w:p w:rsidR="00000000" w:rsidRDefault="00657A20">
            <w:pPr>
              <w:jc w:val="center"/>
              <w:rPr>
                <w:b/>
                <w:bCs/>
                <w:i/>
                <w:iCs/>
                <w:sz w:val="22"/>
              </w:rPr>
            </w:pPr>
            <w:r>
              <w:rPr>
                <w:b/>
                <w:bCs/>
                <w:i/>
                <w:iCs/>
                <w:sz w:val="22"/>
              </w:rPr>
              <w:t>%D</w:t>
            </w:r>
          </w:p>
        </w:tc>
        <w:tc>
          <w:tcPr>
            <w:tcW w:w="1368" w:type="dxa"/>
          </w:tcPr>
          <w:p w:rsidR="00000000" w:rsidRDefault="00657A20">
            <w:pPr>
              <w:jc w:val="center"/>
              <w:rPr>
                <w:b/>
                <w:bCs/>
                <w:i/>
                <w:iCs/>
                <w:sz w:val="22"/>
              </w:rPr>
            </w:pPr>
            <w:r>
              <w:rPr>
                <w:b/>
                <w:bCs/>
                <w:i/>
                <w:iCs/>
                <w:sz w:val="22"/>
              </w:rPr>
              <w:t>%D -%</w:t>
            </w:r>
            <w:r>
              <w:rPr>
                <w:b/>
                <w:bCs/>
                <w:i/>
                <w:iCs/>
                <w:position w:val="-4"/>
                <w:sz w:val="22"/>
              </w:rPr>
              <w:object w:dxaOrig="260" w:dyaOrig="320">
                <v:shape id="_x0000_i1080" type="#_x0000_t75" style="width:12.75pt;height:15.75pt" o:ole="" fillcolor="window">
                  <v:imagedata r:id="rId25" o:title=""/>
                </v:shape>
                <o:OLEObject Type="Embed" ProgID="Equation.3" ShapeID="_x0000_i1080" DrawAspect="Content" ObjectID="_1742211814" r:id="rId135"/>
              </w:object>
            </w:r>
          </w:p>
        </w:tc>
        <w:tc>
          <w:tcPr>
            <w:tcW w:w="1368" w:type="dxa"/>
          </w:tcPr>
          <w:p w:rsidR="00000000" w:rsidRDefault="00657A20">
            <w:pPr>
              <w:jc w:val="center"/>
              <w:rPr>
                <w:b/>
                <w:bCs/>
                <w:i/>
                <w:iCs/>
                <w:sz w:val="22"/>
                <w:vertAlign w:val="superscript"/>
              </w:rPr>
            </w:pPr>
            <w:r>
              <w:rPr>
                <w:b/>
                <w:bCs/>
                <w:i/>
                <w:iCs/>
                <w:sz w:val="22"/>
              </w:rPr>
              <w:t>(%D-%</w:t>
            </w:r>
            <w:r>
              <w:rPr>
                <w:b/>
                <w:bCs/>
                <w:i/>
                <w:iCs/>
                <w:position w:val="-4"/>
                <w:sz w:val="22"/>
              </w:rPr>
              <w:object w:dxaOrig="260" w:dyaOrig="320">
                <v:shape id="_x0000_i1081" type="#_x0000_t75" style="width:12.75pt;height:15.75pt" o:ole="" fillcolor="window">
                  <v:imagedata r:id="rId25" o:title=""/>
                </v:shape>
                <o:OLEObject Type="Embed" ProgID="Equation.3" ShapeID="_x0000_i1081" DrawAspect="Content" ObjectID="_1742211815" r:id="rId136"/>
              </w:object>
            </w:r>
            <w:r>
              <w:rPr>
                <w:b/>
                <w:bCs/>
                <w:i/>
                <w:iCs/>
                <w:sz w:val="22"/>
              </w:rPr>
              <w:t>)</w:t>
            </w:r>
            <w:r>
              <w:rPr>
                <w:b/>
                <w:bCs/>
                <w:i/>
                <w:iCs/>
                <w:sz w:val="22"/>
                <w:vertAlign w:val="superscript"/>
              </w:rPr>
              <w:t>2</w:t>
            </w:r>
          </w:p>
        </w:tc>
      </w:tr>
      <w:tr w:rsidR="00000000">
        <w:tblPrEx>
          <w:tblCellMar>
            <w:top w:w="0" w:type="dxa"/>
            <w:bottom w:w="0" w:type="dxa"/>
          </w:tblCellMar>
        </w:tblPrEx>
        <w:tc>
          <w:tcPr>
            <w:tcW w:w="1368" w:type="dxa"/>
          </w:tcPr>
          <w:p w:rsidR="00000000" w:rsidRDefault="00657A20">
            <w:pPr>
              <w:jc w:val="center"/>
              <w:rPr>
                <w:b/>
                <w:bCs/>
              </w:rPr>
            </w:pPr>
            <w:r>
              <w:rPr>
                <w:b/>
                <w:bCs/>
              </w:rPr>
              <w:t>1</w:t>
            </w:r>
          </w:p>
        </w:tc>
        <w:tc>
          <w:tcPr>
            <w:tcW w:w="1368" w:type="dxa"/>
            <w:vAlign w:val="bottom"/>
          </w:tcPr>
          <w:p w:rsidR="00000000" w:rsidRDefault="00657A20">
            <w:pPr>
              <w:jc w:val="right"/>
              <w:rPr>
                <w:rFonts w:ascii="Arial" w:hAnsi="Arial" w:cs="Arial"/>
                <w:b/>
                <w:bCs/>
              </w:rPr>
            </w:pPr>
            <w:r>
              <w:rPr>
                <w:rFonts w:ascii="Arial" w:hAnsi="Arial" w:cs="Arial"/>
                <w:b/>
                <w:bCs/>
              </w:rPr>
              <w:t>4.0</w:t>
            </w:r>
          </w:p>
        </w:tc>
        <w:tc>
          <w:tcPr>
            <w:tcW w:w="1368" w:type="dxa"/>
            <w:vAlign w:val="bottom"/>
          </w:tcPr>
          <w:p w:rsidR="00000000" w:rsidRDefault="00657A20">
            <w:pPr>
              <w:jc w:val="right"/>
              <w:rPr>
                <w:rFonts w:ascii="Arial" w:hAnsi="Arial" w:cs="Arial"/>
                <w:b/>
                <w:bCs/>
              </w:rPr>
            </w:pPr>
            <w:r>
              <w:rPr>
                <w:rFonts w:ascii="Arial" w:hAnsi="Arial" w:cs="Arial"/>
                <w:b/>
                <w:bCs/>
              </w:rPr>
              <w:t>-1.4</w:t>
            </w:r>
          </w:p>
        </w:tc>
        <w:tc>
          <w:tcPr>
            <w:tcW w:w="1368" w:type="dxa"/>
            <w:vAlign w:val="bottom"/>
          </w:tcPr>
          <w:p w:rsidR="00000000" w:rsidRDefault="00657A20">
            <w:pPr>
              <w:jc w:val="right"/>
              <w:rPr>
                <w:rFonts w:ascii="Arial" w:hAnsi="Arial" w:cs="Arial"/>
                <w:b/>
                <w:bCs/>
              </w:rPr>
            </w:pPr>
            <w:r>
              <w:rPr>
                <w:rFonts w:ascii="Arial" w:hAnsi="Arial" w:cs="Arial"/>
                <w:b/>
                <w:bCs/>
              </w:rPr>
              <w:t>2.06</w:t>
            </w:r>
          </w:p>
        </w:tc>
        <w:tc>
          <w:tcPr>
            <w:tcW w:w="1368" w:type="dxa"/>
            <w:vAlign w:val="bottom"/>
          </w:tcPr>
          <w:p w:rsidR="00000000" w:rsidRDefault="00657A20">
            <w:pPr>
              <w:jc w:val="right"/>
              <w:rPr>
                <w:rFonts w:ascii="Arial" w:hAnsi="Arial" w:cs="Arial"/>
                <w:b/>
                <w:bCs/>
              </w:rPr>
            </w:pPr>
            <w:r>
              <w:rPr>
                <w:rFonts w:ascii="Arial" w:hAnsi="Arial" w:cs="Arial"/>
                <w:b/>
                <w:bCs/>
              </w:rPr>
              <w:t>12.0</w:t>
            </w:r>
          </w:p>
        </w:tc>
        <w:tc>
          <w:tcPr>
            <w:tcW w:w="1368" w:type="dxa"/>
            <w:vAlign w:val="bottom"/>
          </w:tcPr>
          <w:p w:rsidR="00000000" w:rsidRDefault="00657A20">
            <w:pPr>
              <w:jc w:val="right"/>
              <w:rPr>
                <w:rFonts w:ascii="Arial" w:hAnsi="Arial" w:cs="Arial"/>
                <w:b/>
                <w:bCs/>
              </w:rPr>
            </w:pPr>
            <w:r>
              <w:rPr>
                <w:rFonts w:ascii="Arial" w:hAnsi="Arial" w:cs="Arial"/>
                <w:b/>
                <w:bCs/>
              </w:rPr>
              <w:t>7.3</w:t>
            </w:r>
          </w:p>
        </w:tc>
        <w:tc>
          <w:tcPr>
            <w:tcW w:w="1368" w:type="dxa"/>
            <w:vAlign w:val="bottom"/>
          </w:tcPr>
          <w:p w:rsidR="00000000" w:rsidRDefault="00657A20">
            <w:pPr>
              <w:jc w:val="right"/>
              <w:rPr>
                <w:rFonts w:ascii="Arial" w:hAnsi="Arial" w:cs="Arial"/>
                <w:b/>
                <w:bCs/>
              </w:rPr>
            </w:pPr>
            <w:r>
              <w:rPr>
                <w:rFonts w:ascii="Arial" w:hAnsi="Arial" w:cs="Arial"/>
                <w:b/>
                <w:bCs/>
              </w:rPr>
              <w:t>53.29</w:t>
            </w:r>
          </w:p>
        </w:tc>
      </w:tr>
      <w:tr w:rsidR="00000000">
        <w:tblPrEx>
          <w:tblCellMar>
            <w:top w:w="0" w:type="dxa"/>
            <w:bottom w:w="0" w:type="dxa"/>
          </w:tblCellMar>
        </w:tblPrEx>
        <w:tc>
          <w:tcPr>
            <w:tcW w:w="1368" w:type="dxa"/>
          </w:tcPr>
          <w:p w:rsidR="00000000" w:rsidRDefault="00657A20">
            <w:pPr>
              <w:jc w:val="center"/>
              <w:rPr>
                <w:b/>
                <w:bCs/>
              </w:rPr>
            </w:pPr>
            <w:r>
              <w:rPr>
                <w:b/>
                <w:bCs/>
              </w:rPr>
              <w:t>2</w:t>
            </w:r>
          </w:p>
        </w:tc>
        <w:tc>
          <w:tcPr>
            <w:tcW w:w="1368" w:type="dxa"/>
            <w:vAlign w:val="bottom"/>
          </w:tcPr>
          <w:p w:rsidR="00000000" w:rsidRDefault="00657A20">
            <w:pPr>
              <w:jc w:val="right"/>
              <w:rPr>
                <w:rFonts w:ascii="Arial" w:hAnsi="Arial" w:cs="Arial"/>
                <w:b/>
                <w:bCs/>
              </w:rPr>
            </w:pPr>
            <w:r>
              <w:rPr>
                <w:rFonts w:ascii="Arial" w:hAnsi="Arial" w:cs="Arial"/>
                <w:b/>
                <w:bCs/>
              </w:rPr>
              <w:t>0.5</w:t>
            </w:r>
          </w:p>
        </w:tc>
        <w:tc>
          <w:tcPr>
            <w:tcW w:w="1368" w:type="dxa"/>
            <w:vAlign w:val="bottom"/>
          </w:tcPr>
          <w:p w:rsidR="00000000" w:rsidRDefault="00657A20">
            <w:pPr>
              <w:jc w:val="right"/>
              <w:rPr>
                <w:rFonts w:ascii="Arial" w:hAnsi="Arial" w:cs="Arial"/>
                <w:b/>
                <w:bCs/>
              </w:rPr>
            </w:pPr>
            <w:r>
              <w:rPr>
                <w:rFonts w:ascii="Arial" w:hAnsi="Arial" w:cs="Arial"/>
                <w:b/>
                <w:bCs/>
              </w:rPr>
              <w:t>-4.9</w:t>
            </w:r>
          </w:p>
        </w:tc>
        <w:tc>
          <w:tcPr>
            <w:tcW w:w="1368" w:type="dxa"/>
            <w:vAlign w:val="bottom"/>
          </w:tcPr>
          <w:p w:rsidR="00000000" w:rsidRDefault="00657A20">
            <w:pPr>
              <w:jc w:val="right"/>
              <w:rPr>
                <w:rFonts w:ascii="Arial" w:hAnsi="Arial" w:cs="Arial"/>
                <w:b/>
                <w:bCs/>
              </w:rPr>
            </w:pPr>
            <w:r>
              <w:rPr>
                <w:rFonts w:ascii="Arial" w:hAnsi="Arial" w:cs="Arial"/>
                <w:b/>
                <w:bCs/>
              </w:rPr>
              <w:t>24.35</w:t>
            </w:r>
          </w:p>
        </w:tc>
        <w:tc>
          <w:tcPr>
            <w:tcW w:w="1368" w:type="dxa"/>
            <w:vAlign w:val="bottom"/>
          </w:tcPr>
          <w:p w:rsidR="00000000" w:rsidRDefault="00657A20">
            <w:pPr>
              <w:jc w:val="right"/>
              <w:rPr>
                <w:rFonts w:ascii="Arial" w:hAnsi="Arial" w:cs="Arial"/>
                <w:b/>
                <w:bCs/>
              </w:rPr>
            </w:pPr>
            <w:r>
              <w:rPr>
                <w:rFonts w:ascii="Arial" w:hAnsi="Arial" w:cs="Arial"/>
                <w:b/>
                <w:bCs/>
              </w:rPr>
              <w:t>1.4</w:t>
            </w:r>
          </w:p>
        </w:tc>
        <w:tc>
          <w:tcPr>
            <w:tcW w:w="1368" w:type="dxa"/>
            <w:vAlign w:val="bottom"/>
          </w:tcPr>
          <w:p w:rsidR="00000000" w:rsidRDefault="00657A20">
            <w:pPr>
              <w:jc w:val="right"/>
              <w:rPr>
                <w:rFonts w:ascii="Arial" w:hAnsi="Arial" w:cs="Arial"/>
                <w:b/>
                <w:bCs/>
              </w:rPr>
            </w:pPr>
            <w:r>
              <w:rPr>
                <w:rFonts w:ascii="Arial" w:hAnsi="Arial" w:cs="Arial"/>
                <w:b/>
                <w:bCs/>
              </w:rPr>
              <w:t>-3.3</w:t>
            </w:r>
          </w:p>
        </w:tc>
        <w:tc>
          <w:tcPr>
            <w:tcW w:w="1368" w:type="dxa"/>
            <w:vAlign w:val="bottom"/>
          </w:tcPr>
          <w:p w:rsidR="00000000" w:rsidRDefault="00657A20">
            <w:pPr>
              <w:jc w:val="right"/>
              <w:rPr>
                <w:rFonts w:ascii="Arial" w:hAnsi="Arial" w:cs="Arial"/>
                <w:b/>
                <w:bCs/>
              </w:rPr>
            </w:pPr>
            <w:r>
              <w:rPr>
                <w:rFonts w:ascii="Arial" w:hAnsi="Arial" w:cs="Arial"/>
                <w:b/>
                <w:bCs/>
              </w:rPr>
              <w:t>10.89</w:t>
            </w:r>
          </w:p>
        </w:tc>
      </w:tr>
      <w:tr w:rsidR="00000000">
        <w:tblPrEx>
          <w:tblCellMar>
            <w:top w:w="0" w:type="dxa"/>
            <w:bottom w:w="0" w:type="dxa"/>
          </w:tblCellMar>
        </w:tblPrEx>
        <w:tc>
          <w:tcPr>
            <w:tcW w:w="1368" w:type="dxa"/>
          </w:tcPr>
          <w:p w:rsidR="00000000" w:rsidRDefault="00657A20">
            <w:pPr>
              <w:jc w:val="center"/>
              <w:rPr>
                <w:b/>
                <w:bCs/>
              </w:rPr>
            </w:pPr>
            <w:r>
              <w:rPr>
                <w:b/>
                <w:bCs/>
              </w:rPr>
              <w:t>3</w:t>
            </w:r>
          </w:p>
        </w:tc>
        <w:tc>
          <w:tcPr>
            <w:tcW w:w="1368" w:type="dxa"/>
            <w:vAlign w:val="bottom"/>
          </w:tcPr>
          <w:p w:rsidR="00000000" w:rsidRDefault="00657A20">
            <w:pPr>
              <w:jc w:val="right"/>
              <w:rPr>
                <w:rFonts w:ascii="Arial" w:hAnsi="Arial" w:cs="Arial"/>
                <w:b/>
                <w:bCs/>
              </w:rPr>
            </w:pPr>
            <w:r>
              <w:rPr>
                <w:rFonts w:ascii="Arial" w:hAnsi="Arial" w:cs="Arial"/>
                <w:b/>
                <w:bCs/>
              </w:rPr>
              <w:t>1.5</w:t>
            </w:r>
          </w:p>
        </w:tc>
        <w:tc>
          <w:tcPr>
            <w:tcW w:w="1368" w:type="dxa"/>
            <w:vAlign w:val="bottom"/>
          </w:tcPr>
          <w:p w:rsidR="00000000" w:rsidRDefault="00657A20">
            <w:pPr>
              <w:jc w:val="right"/>
              <w:rPr>
                <w:rFonts w:ascii="Arial" w:hAnsi="Arial" w:cs="Arial"/>
                <w:b/>
                <w:bCs/>
              </w:rPr>
            </w:pPr>
            <w:r>
              <w:rPr>
                <w:rFonts w:ascii="Arial" w:hAnsi="Arial" w:cs="Arial"/>
                <w:b/>
                <w:bCs/>
              </w:rPr>
              <w:t>-3.9</w:t>
            </w:r>
          </w:p>
        </w:tc>
        <w:tc>
          <w:tcPr>
            <w:tcW w:w="1368" w:type="dxa"/>
            <w:vAlign w:val="bottom"/>
          </w:tcPr>
          <w:p w:rsidR="00000000" w:rsidRDefault="00657A20">
            <w:pPr>
              <w:jc w:val="right"/>
              <w:rPr>
                <w:rFonts w:ascii="Arial" w:hAnsi="Arial" w:cs="Arial"/>
                <w:b/>
                <w:bCs/>
              </w:rPr>
            </w:pPr>
            <w:r>
              <w:rPr>
                <w:rFonts w:ascii="Arial" w:hAnsi="Arial" w:cs="Arial"/>
                <w:b/>
                <w:bCs/>
              </w:rPr>
              <w:t>15.48</w:t>
            </w:r>
          </w:p>
        </w:tc>
        <w:tc>
          <w:tcPr>
            <w:tcW w:w="1368" w:type="dxa"/>
            <w:vAlign w:val="bottom"/>
          </w:tcPr>
          <w:p w:rsidR="00000000" w:rsidRDefault="00657A20">
            <w:pPr>
              <w:jc w:val="right"/>
              <w:rPr>
                <w:rFonts w:ascii="Arial" w:hAnsi="Arial" w:cs="Arial"/>
                <w:b/>
                <w:bCs/>
              </w:rPr>
            </w:pPr>
            <w:r>
              <w:rPr>
                <w:rFonts w:ascii="Arial" w:hAnsi="Arial" w:cs="Arial"/>
                <w:b/>
                <w:bCs/>
              </w:rPr>
              <w:t>8.0</w:t>
            </w:r>
          </w:p>
        </w:tc>
        <w:tc>
          <w:tcPr>
            <w:tcW w:w="1368" w:type="dxa"/>
            <w:vAlign w:val="bottom"/>
          </w:tcPr>
          <w:p w:rsidR="00000000" w:rsidRDefault="00657A20">
            <w:pPr>
              <w:jc w:val="right"/>
              <w:rPr>
                <w:rFonts w:ascii="Arial" w:hAnsi="Arial" w:cs="Arial"/>
                <w:b/>
                <w:bCs/>
              </w:rPr>
            </w:pPr>
            <w:r>
              <w:rPr>
                <w:rFonts w:ascii="Arial" w:hAnsi="Arial" w:cs="Arial"/>
                <w:b/>
                <w:bCs/>
              </w:rPr>
              <w:t>3.3</w:t>
            </w:r>
          </w:p>
        </w:tc>
        <w:tc>
          <w:tcPr>
            <w:tcW w:w="1368" w:type="dxa"/>
            <w:vAlign w:val="bottom"/>
          </w:tcPr>
          <w:p w:rsidR="00000000" w:rsidRDefault="00657A20">
            <w:pPr>
              <w:jc w:val="right"/>
              <w:rPr>
                <w:rFonts w:ascii="Arial" w:hAnsi="Arial" w:cs="Arial"/>
                <w:b/>
                <w:bCs/>
              </w:rPr>
            </w:pPr>
            <w:r>
              <w:rPr>
                <w:rFonts w:ascii="Arial" w:hAnsi="Arial" w:cs="Arial"/>
                <w:b/>
                <w:bCs/>
              </w:rPr>
              <w:t>10.89</w:t>
            </w:r>
          </w:p>
        </w:tc>
      </w:tr>
      <w:tr w:rsidR="00000000">
        <w:tblPrEx>
          <w:tblCellMar>
            <w:top w:w="0" w:type="dxa"/>
            <w:bottom w:w="0" w:type="dxa"/>
          </w:tblCellMar>
        </w:tblPrEx>
        <w:tc>
          <w:tcPr>
            <w:tcW w:w="1368" w:type="dxa"/>
          </w:tcPr>
          <w:p w:rsidR="00000000" w:rsidRDefault="00657A20">
            <w:pPr>
              <w:jc w:val="center"/>
              <w:rPr>
                <w:b/>
                <w:bCs/>
              </w:rPr>
            </w:pPr>
            <w:r>
              <w:rPr>
                <w:b/>
                <w:bCs/>
              </w:rPr>
              <w:t>4</w:t>
            </w:r>
          </w:p>
        </w:tc>
        <w:tc>
          <w:tcPr>
            <w:tcW w:w="1368" w:type="dxa"/>
            <w:vAlign w:val="bottom"/>
          </w:tcPr>
          <w:p w:rsidR="00000000" w:rsidRDefault="00657A20">
            <w:pPr>
              <w:jc w:val="right"/>
              <w:rPr>
                <w:rFonts w:ascii="Arial" w:hAnsi="Arial" w:cs="Arial"/>
                <w:b/>
                <w:bCs/>
              </w:rPr>
            </w:pPr>
            <w:r>
              <w:rPr>
                <w:rFonts w:ascii="Arial" w:hAnsi="Arial" w:cs="Arial"/>
                <w:b/>
                <w:bCs/>
              </w:rPr>
              <w:t>1.7</w:t>
            </w:r>
          </w:p>
        </w:tc>
        <w:tc>
          <w:tcPr>
            <w:tcW w:w="1368" w:type="dxa"/>
            <w:vAlign w:val="bottom"/>
          </w:tcPr>
          <w:p w:rsidR="00000000" w:rsidRDefault="00657A20">
            <w:pPr>
              <w:jc w:val="right"/>
              <w:rPr>
                <w:rFonts w:ascii="Arial" w:hAnsi="Arial" w:cs="Arial"/>
                <w:b/>
                <w:bCs/>
              </w:rPr>
            </w:pPr>
            <w:r>
              <w:rPr>
                <w:rFonts w:ascii="Arial" w:hAnsi="Arial" w:cs="Arial"/>
                <w:b/>
                <w:bCs/>
              </w:rPr>
              <w:t>-3.7</w:t>
            </w:r>
          </w:p>
        </w:tc>
        <w:tc>
          <w:tcPr>
            <w:tcW w:w="1368" w:type="dxa"/>
            <w:vAlign w:val="bottom"/>
          </w:tcPr>
          <w:p w:rsidR="00000000" w:rsidRDefault="00657A20">
            <w:pPr>
              <w:jc w:val="right"/>
              <w:rPr>
                <w:rFonts w:ascii="Arial" w:hAnsi="Arial" w:cs="Arial"/>
                <w:b/>
                <w:bCs/>
              </w:rPr>
            </w:pPr>
            <w:r>
              <w:rPr>
                <w:rFonts w:ascii="Arial" w:hAnsi="Arial" w:cs="Arial"/>
                <w:b/>
                <w:bCs/>
              </w:rPr>
              <w:t>13.95</w:t>
            </w:r>
          </w:p>
        </w:tc>
        <w:tc>
          <w:tcPr>
            <w:tcW w:w="1368" w:type="dxa"/>
            <w:vAlign w:val="bottom"/>
          </w:tcPr>
          <w:p w:rsidR="00000000" w:rsidRDefault="00657A20">
            <w:pPr>
              <w:jc w:val="right"/>
              <w:rPr>
                <w:rFonts w:ascii="Arial" w:hAnsi="Arial" w:cs="Arial"/>
                <w:b/>
                <w:bCs/>
              </w:rPr>
            </w:pPr>
            <w:r>
              <w:rPr>
                <w:rFonts w:ascii="Arial" w:hAnsi="Arial" w:cs="Arial"/>
                <w:b/>
                <w:bCs/>
              </w:rPr>
              <w:t>3.7</w:t>
            </w:r>
          </w:p>
        </w:tc>
        <w:tc>
          <w:tcPr>
            <w:tcW w:w="1368" w:type="dxa"/>
            <w:vAlign w:val="bottom"/>
          </w:tcPr>
          <w:p w:rsidR="00000000" w:rsidRDefault="00657A20">
            <w:pPr>
              <w:jc w:val="right"/>
              <w:rPr>
                <w:rFonts w:ascii="Arial" w:hAnsi="Arial" w:cs="Arial"/>
                <w:b/>
                <w:bCs/>
              </w:rPr>
            </w:pPr>
            <w:r>
              <w:rPr>
                <w:rFonts w:ascii="Arial" w:hAnsi="Arial" w:cs="Arial"/>
                <w:b/>
                <w:bCs/>
              </w:rPr>
              <w:t>-1.0</w:t>
            </w:r>
          </w:p>
        </w:tc>
        <w:tc>
          <w:tcPr>
            <w:tcW w:w="1368" w:type="dxa"/>
            <w:vAlign w:val="bottom"/>
          </w:tcPr>
          <w:p w:rsidR="00000000" w:rsidRDefault="00657A20">
            <w:pPr>
              <w:jc w:val="right"/>
              <w:rPr>
                <w:rFonts w:ascii="Arial" w:hAnsi="Arial" w:cs="Arial"/>
                <w:b/>
                <w:bCs/>
              </w:rPr>
            </w:pPr>
            <w:r>
              <w:rPr>
                <w:rFonts w:ascii="Arial" w:hAnsi="Arial" w:cs="Arial"/>
                <w:b/>
                <w:bCs/>
              </w:rPr>
              <w:t>1.00</w:t>
            </w:r>
          </w:p>
        </w:tc>
      </w:tr>
      <w:tr w:rsidR="00000000">
        <w:tblPrEx>
          <w:tblCellMar>
            <w:top w:w="0" w:type="dxa"/>
            <w:bottom w:w="0" w:type="dxa"/>
          </w:tblCellMar>
        </w:tblPrEx>
        <w:tc>
          <w:tcPr>
            <w:tcW w:w="1368" w:type="dxa"/>
          </w:tcPr>
          <w:p w:rsidR="00000000" w:rsidRDefault="00657A20">
            <w:pPr>
              <w:jc w:val="center"/>
              <w:rPr>
                <w:b/>
                <w:bCs/>
              </w:rPr>
            </w:pPr>
            <w:r>
              <w:rPr>
                <w:b/>
                <w:bCs/>
              </w:rPr>
              <w:t>5</w:t>
            </w:r>
          </w:p>
        </w:tc>
        <w:tc>
          <w:tcPr>
            <w:tcW w:w="1368" w:type="dxa"/>
            <w:vAlign w:val="bottom"/>
          </w:tcPr>
          <w:p w:rsidR="00000000" w:rsidRDefault="00657A20">
            <w:pPr>
              <w:jc w:val="right"/>
              <w:rPr>
                <w:rFonts w:ascii="Arial" w:hAnsi="Arial" w:cs="Arial"/>
                <w:b/>
                <w:bCs/>
              </w:rPr>
            </w:pPr>
            <w:r>
              <w:rPr>
                <w:rFonts w:ascii="Arial" w:hAnsi="Arial" w:cs="Arial"/>
                <w:b/>
                <w:bCs/>
              </w:rPr>
              <w:t>0.1</w:t>
            </w:r>
          </w:p>
        </w:tc>
        <w:tc>
          <w:tcPr>
            <w:tcW w:w="1368" w:type="dxa"/>
            <w:vAlign w:val="bottom"/>
          </w:tcPr>
          <w:p w:rsidR="00000000" w:rsidRDefault="00657A20">
            <w:pPr>
              <w:jc w:val="right"/>
              <w:rPr>
                <w:rFonts w:ascii="Arial" w:hAnsi="Arial" w:cs="Arial"/>
                <w:b/>
                <w:bCs/>
              </w:rPr>
            </w:pPr>
            <w:r>
              <w:rPr>
                <w:rFonts w:ascii="Arial" w:hAnsi="Arial" w:cs="Arial"/>
                <w:b/>
                <w:bCs/>
              </w:rPr>
              <w:t>-5.3</w:t>
            </w:r>
          </w:p>
        </w:tc>
        <w:tc>
          <w:tcPr>
            <w:tcW w:w="1368" w:type="dxa"/>
            <w:vAlign w:val="bottom"/>
          </w:tcPr>
          <w:p w:rsidR="00000000" w:rsidRDefault="00657A20">
            <w:pPr>
              <w:jc w:val="right"/>
              <w:rPr>
                <w:rFonts w:ascii="Arial" w:hAnsi="Arial" w:cs="Arial"/>
                <w:b/>
                <w:bCs/>
              </w:rPr>
            </w:pPr>
            <w:r>
              <w:rPr>
                <w:rFonts w:ascii="Arial" w:hAnsi="Arial" w:cs="Arial"/>
                <w:b/>
                <w:bCs/>
              </w:rPr>
              <w:t>28.46</w:t>
            </w:r>
          </w:p>
        </w:tc>
        <w:tc>
          <w:tcPr>
            <w:tcW w:w="1368" w:type="dxa"/>
            <w:vAlign w:val="bottom"/>
          </w:tcPr>
          <w:p w:rsidR="00000000" w:rsidRDefault="00657A20">
            <w:pPr>
              <w:jc w:val="right"/>
              <w:rPr>
                <w:rFonts w:ascii="Arial" w:hAnsi="Arial" w:cs="Arial"/>
                <w:b/>
                <w:bCs/>
              </w:rPr>
            </w:pPr>
            <w:r>
              <w:rPr>
                <w:rFonts w:ascii="Arial" w:hAnsi="Arial" w:cs="Arial"/>
                <w:b/>
                <w:bCs/>
              </w:rPr>
              <w:t>12.0</w:t>
            </w:r>
          </w:p>
        </w:tc>
        <w:tc>
          <w:tcPr>
            <w:tcW w:w="1368" w:type="dxa"/>
            <w:vAlign w:val="bottom"/>
          </w:tcPr>
          <w:p w:rsidR="00000000" w:rsidRDefault="00657A20">
            <w:pPr>
              <w:jc w:val="right"/>
              <w:rPr>
                <w:rFonts w:ascii="Arial" w:hAnsi="Arial" w:cs="Arial"/>
                <w:b/>
                <w:bCs/>
              </w:rPr>
            </w:pPr>
            <w:r>
              <w:rPr>
                <w:rFonts w:ascii="Arial" w:hAnsi="Arial" w:cs="Arial"/>
                <w:b/>
                <w:bCs/>
              </w:rPr>
              <w:t>7.3</w:t>
            </w:r>
          </w:p>
        </w:tc>
        <w:tc>
          <w:tcPr>
            <w:tcW w:w="1368" w:type="dxa"/>
            <w:vAlign w:val="bottom"/>
          </w:tcPr>
          <w:p w:rsidR="00000000" w:rsidRDefault="00657A20">
            <w:pPr>
              <w:jc w:val="right"/>
              <w:rPr>
                <w:rFonts w:ascii="Arial" w:hAnsi="Arial" w:cs="Arial"/>
                <w:b/>
                <w:bCs/>
              </w:rPr>
            </w:pPr>
            <w:r>
              <w:rPr>
                <w:rFonts w:ascii="Arial" w:hAnsi="Arial" w:cs="Arial"/>
                <w:b/>
                <w:bCs/>
              </w:rPr>
              <w:t>53.29</w:t>
            </w:r>
          </w:p>
        </w:tc>
      </w:tr>
      <w:tr w:rsidR="00000000">
        <w:tblPrEx>
          <w:tblCellMar>
            <w:top w:w="0" w:type="dxa"/>
            <w:bottom w:w="0" w:type="dxa"/>
          </w:tblCellMar>
        </w:tblPrEx>
        <w:tc>
          <w:tcPr>
            <w:tcW w:w="1368" w:type="dxa"/>
          </w:tcPr>
          <w:p w:rsidR="00000000" w:rsidRDefault="00657A20">
            <w:pPr>
              <w:jc w:val="center"/>
              <w:rPr>
                <w:b/>
                <w:bCs/>
              </w:rPr>
            </w:pPr>
            <w:r>
              <w:rPr>
                <w:b/>
                <w:bCs/>
              </w:rPr>
              <w:t>6</w:t>
            </w:r>
          </w:p>
        </w:tc>
        <w:tc>
          <w:tcPr>
            <w:tcW w:w="1368" w:type="dxa"/>
            <w:vAlign w:val="bottom"/>
          </w:tcPr>
          <w:p w:rsidR="00000000" w:rsidRDefault="00657A20">
            <w:pPr>
              <w:jc w:val="right"/>
              <w:rPr>
                <w:rFonts w:ascii="Arial" w:hAnsi="Arial" w:cs="Arial"/>
                <w:b/>
                <w:bCs/>
              </w:rPr>
            </w:pPr>
            <w:r>
              <w:rPr>
                <w:rFonts w:ascii="Arial" w:hAnsi="Arial" w:cs="Arial"/>
                <w:b/>
                <w:bCs/>
              </w:rPr>
              <w:t>2.2</w:t>
            </w:r>
          </w:p>
        </w:tc>
        <w:tc>
          <w:tcPr>
            <w:tcW w:w="1368" w:type="dxa"/>
            <w:vAlign w:val="bottom"/>
          </w:tcPr>
          <w:p w:rsidR="00000000" w:rsidRDefault="00657A20">
            <w:pPr>
              <w:jc w:val="right"/>
              <w:rPr>
                <w:rFonts w:ascii="Arial" w:hAnsi="Arial" w:cs="Arial"/>
                <w:b/>
                <w:bCs/>
              </w:rPr>
            </w:pPr>
            <w:r>
              <w:rPr>
                <w:rFonts w:ascii="Arial" w:hAnsi="Arial" w:cs="Arial"/>
                <w:b/>
                <w:bCs/>
              </w:rPr>
              <w:t>-3.2</w:t>
            </w:r>
          </w:p>
        </w:tc>
        <w:tc>
          <w:tcPr>
            <w:tcW w:w="1368" w:type="dxa"/>
            <w:vAlign w:val="bottom"/>
          </w:tcPr>
          <w:p w:rsidR="00000000" w:rsidRDefault="00657A20">
            <w:pPr>
              <w:jc w:val="right"/>
              <w:rPr>
                <w:rFonts w:ascii="Arial" w:hAnsi="Arial" w:cs="Arial"/>
                <w:b/>
                <w:bCs/>
              </w:rPr>
            </w:pPr>
            <w:r>
              <w:rPr>
                <w:rFonts w:ascii="Arial" w:hAnsi="Arial" w:cs="Arial"/>
                <w:b/>
                <w:bCs/>
              </w:rPr>
              <w:t>10.47</w:t>
            </w:r>
          </w:p>
        </w:tc>
        <w:tc>
          <w:tcPr>
            <w:tcW w:w="1368" w:type="dxa"/>
            <w:vAlign w:val="bottom"/>
          </w:tcPr>
          <w:p w:rsidR="00000000" w:rsidRDefault="00657A20">
            <w:pPr>
              <w:jc w:val="right"/>
              <w:rPr>
                <w:rFonts w:ascii="Arial" w:hAnsi="Arial" w:cs="Arial"/>
                <w:b/>
                <w:bCs/>
              </w:rPr>
            </w:pPr>
            <w:r>
              <w:rPr>
                <w:rFonts w:ascii="Arial" w:hAnsi="Arial" w:cs="Arial"/>
                <w:b/>
                <w:bCs/>
              </w:rPr>
              <w:t>0.4</w:t>
            </w:r>
          </w:p>
        </w:tc>
        <w:tc>
          <w:tcPr>
            <w:tcW w:w="1368" w:type="dxa"/>
            <w:vAlign w:val="bottom"/>
          </w:tcPr>
          <w:p w:rsidR="00000000" w:rsidRDefault="00657A20">
            <w:pPr>
              <w:jc w:val="right"/>
              <w:rPr>
                <w:rFonts w:ascii="Arial" w:hAnsi="Arial" w:cs="Arial"/>
                <w:b/>
                <w:bCs/>
              </w:rPr>
            </w:pPr>
            <w:r>
              <w:rPr>
                <w:rFonts w:ascii="Arial" w:hAnsi="Arial" w:cs="Arial"/>
                <w:b/>
                <w:bCs/>
              </w:rPr>
              <w:t>-4.3</w:t>
            </w:r>
          </w:p>
        </w:tc>
        <w:tc>
          <w:tcPr>
            <w:tcW w:w="1368" w:type="dxa"/>
            <w:vAlign w:val="bottom"/>
          </w:tcPr>
          <w:p w:rsidR="00000000" w:rsidRDefault="00657A20">
            <w:pPr>
              <w:jc w:val="right"/>
              <w:rPr>
                <w:rFonts w:ascii="Arial" w:hAnsi="Arial" w:cs="Arial"/>
                <w:b/>
                <w:bCs/>
              </w:rPr>
            </w:pPr>
            <w:r>
              <w:rPr>
                <w:rFonts w:ascii="Arial" w:hAnsi="Arial" w:cs="Arial"/>
                <w:b/>
                <w:bCs/>
              </w:rPr>
              <w:t>18.49</w:t>
            </w:r>
          </w:p>
        </w:tc>
      </w:tr>
      <w:tr w:rsidR="00000000">
        <w:tblPrEx>
          <w:tblCellMar>
            <w:top w:w="0" w:type="dxa"/>
            <w:bottom w:w="0" w:type="dxa"/>
          </w:tblCellMar>
        </w:tblPrEx>
        <w:tc>
          <w:tcPr>
            <w:tcW w:w="1368" w:type="dxa"/>
          </w:tcPr>
          <w:p w:rsidR="00000000" w:rsidRDefault="00657A20">
            <w:pPr>
              <w:jc w:val="center"/>
              <w:rPr>
                <w:b/>
                <w:bCs/>
              </w:rPr>
            </w:pPr>
            <w:r>
              <w:rPr>
                <w:b/>
                <w:bCs/>
              </w:rPr>
              <w:t>7</w:t>
            </w:r>
          </w:p>
        </w:tc>
        <w:tc>
          <w:tcPr>
            <w:tcW w:w="1368" w:type="dxa"/>
            <w:vAlign w:val="bottom"/>
          </w:tcPr>
          <w:p w:rsidR="00000000" w:rsidRDefault="00657A20">
            <w:pPr>
              <w:jc w:val="right"/>
              <w:rPr>
                <w:rFonts w:ascii="Arial" w:hAnsi="Arial" w:cs="Arial"/>
                <w:b/>
                <w:bCs/>
              </w:rPr>
            </w:pPr>
            <w:r>
              <w:rPr>
                <w:rFonts w:ascii="Arial" w:hAnsi="Arial" w:cs="Arial"/>
                <w:b/>
                <w:bCs/>
              </w:rPr>
              <w:t>0.4</w:t>
            </w:r>
          </w:p>
        </w:tc>
        <w:tc>
          <w:tcPr>
            <w:tcW w:w="1368" w:type="dxa"/>
            <w:vAlign w:val="bottom"/>
          </w:tcPr>
          <w:p w:rsidR="00000000" w:rsidRDefault="00657A20">
            <w:pPr>
              <w:jc w:val="right"/>
              <w:rPr>
                <w:rFonts w:ascii="Arial" w:hAnsi="Arial" w:cs="Arial"/>
                <w:b/>
                <w:bCs/>
              </w:rPr>
            </w:pPr>
            <w:r>
              <w:rPr>
                <w:rFonts w:ascii="Arial" w:hAnsi="Arial" w:cs="Arial"/>
                <w:b/>
                <w:bCs/>
              </w:rPr>
              <w:t>-5.0</w:t>
            </w:r>
          </w:p>
        </w:tc>
        <w:tc>
          <w:tcPr>
            <w:tcW w:w="1368" w:type="dxa"/>
            <w:vAlign w:val="bottom"/>
          </w:tcPr>
          <w:p w:rsidR="00000000" w:rsidRDefault="00657A20">
            <w:pPr>
              <w:jc w:val="right"/>
              <w:rPr>
                <w:rFonts w:ascii="Arial" w:hAnsi="Arial" w:cs="Arial"/>
                <w:b/>
                <w:bCs/>
              </w:rPr>
            </w:pPr>
            <w:r>
              <w:rPr>
                <w:rFonts w:ascii="Arial" w:hAnsi="Arial" w:cs="Arial"/>
                <w:b/>
                <w:bCs/>
              </w:rPr>
              <w:t>25.35</w:t>
            </w:r>
          </w:p>
        </w:tc>
        <w:tc>
          <w:tcPr>
            <w:tcW w:w="1368" w:type="dxa"/>
            <w:vAlign w:val="bottom"/>
          </w:tcPr>
          <w:p w:rsidR="00000000" w:rsidRDefault="00657A20">
            <w:pPr>
              <w:jc w:val="right"/>
              <w:rPr>
                <w:rFonts w:ascii="Arial" w:hAnsi="Arial" w:cs="Arial"/>
                <w:b/>
                <w:bCs/>
              </w:rPr>
            </w:pPr>
            <w:r>
              <w:rPr>
                <w:rFonts w:ascii="Arial" w:hAnsi="Arial" w:cs="Arial"/>
                <w:b/>
                <w:bCs/>
              </w:rPr>
              <w:t>3.6</w:t>
            </w:r>
          </w:p>
        </w:tc>
        <w:tc>
          <w:tcPr>
            <w:tcW w:w="1368" w:type="dxa"/>
            <w:vAlign w:val="bottom"/>
          </w:tcPr>
          <w:p w:rsidR="00000000" w:rsidRDefault="00657A20">
            <w:pPr>
              <w:jc w:val="right"/>
              <w:rPr>
                <w:rFonts w:ascii="Arial" w:hAnsi="Arial" w:cs="Arial"/>
                <w:b/>
                <w:bCs/>
              </w:rPr>
            </w:pPr>
            <w:r>
              <w:rPr>
                <w:rFonts w:ascii="Arial" w:hAnsi="Arial" w:cs="Arial"/>
                <w:b/>
                <w:bCs/>
              </w:rPr>
              <w:t>-1.1</w:t>
            </w:r>
          </w:p>
        </w:tc>
        <w:tc>
          <w:tcPr>
            <w:tcW w:w="1368" w:type="dxa"/>
            <w:vAlign w:val="bottom"/>
          </w:tcPr>
          <w:p w:rsidR="00000000" w:rsidRDefault="00657A20">
            <w:pPr>
              <w:jc w:val="right"/>
              <w:rPr>
                <w:rFonts w:ascii="Arial" w:hAnsi="Arial" w:cs="Arial"/>
                <w:b/>
                <w:bCs/>
              </w:rPr>
            </w:pPr>
            <w:r>
              <w:rPr>
                <w:rFonts w:ascii="Arial" w:hAnsi="Arial" w:cs="Arial"/>
                <w:b/>
                <w:bCs/>
              </w:rPr>
              <w:t>1.21</w:t>
            </w:r>
          </w:p>
        </w:tc>
      </w:tr>
      <w:tr w:rsidR="00000000">
        <w:tblPrEx>
          <w:tblCellMar>
            <w:top w:w="0" w:type="dxa"/>
            <w:bottom w:w="0" w:type="dxa"/>
          </w:tblCellMar>
        </w:tblPrEx>
        <w:tc>
          <w:tcPr>
            <w:tcW w:w="1368" w:type="dxa"/>
          </w:tcPr>
          <w:p w:rsidR="00000000" w:rsidRDefault="00657A20">
            <w:pPr>
              <w:jc w:val="center"/>
              <w:rPr>
                <w:b/>
                <w:bCs/>
              </w:rPr>
            </w:pPr>
            <w:r>
              <w:rPr>
                <w:b/>
                <w:bCs/>
              </w:rPr>
              <w:t>8</w:t>
            </w:r>
          </w:p>
        </w:tc>
        <w:tc>
          <w:tcPr>
            <w:tcW w:w="1368" w:type="dxa"/>
            <w:vAlign w:val="bottom"/>
          </w:tcPr>
          <w:p w:rsidR="00000000" w:rsidRDefault="00657A20">
            <w:pPr>
              <w:jc w:val="right"/>
              <w:rPr>
                <w:rFonts w:ascii="Arial" w:hAnsi="Arial" w:cs="Arial"/>
                <w:b/>
                <w:bCs/>
              </w:rPr>
            </w:pPr>
            <w:r>
              <w:rPr>
                <w:rFonts w:ascii="Arial" w:hAnsi="Arial" w:cs="Arial"/>
                <w:b/>
                <w:bCs/>
              </w:rPr>
              <w:t>0.3</w:t>
            </w:r>
          </w:p>
        </w:tc>
        <w:tc>
          <w:tcPr>
            <w:tcW w:w="1368" w:type="dxa"/>
            <w:vAlign w:val="bottom"/>
          </w:tcPr>
          <w:p w:rsidR="00000000" w:rsidRDefault="00657A20">
            <w:pPr>
              <w:jc w:val="right"/>
              <w:rPr>
                <w:rFonts w:ascii="Arial" w:hAnsi="Arial" w:cs="Arial"/>
                <w:b/>
                <w:bCs/>
              </w:rPr>
            </w:pPr>
            <w:r>
              <w:rPr>
                <w:rFonts w:ascii="Arial" w:hAnsi="Arial" w:cs="Arial"/>
                <w:b/>
                <w:bCs/>
              </w:rPr>
              <w:t>-5.1</w:t>
            </w:r>
          </w:p>
        </w:tc>
        <w:tc>
          <w:tcPr>
            <w:tcW w:w="1368" w:type="dxa"/>
            <w:vAlign w:val="bottom"/>
          </w:tcPr>
          <w:p w:rsidR="00000000" w:rsidRDefault="00657A20">
            <w:pPr>
              <w:jc w:val="right"/>
              <w:rPr>
                <w:rFonts w:ascii="Arial" w:hAnsi="Arial" w:cs="Arial"/>
                <w:b/>
                <w:bCs/>
              </w:rPr>
            </w:pPr>
            <w:r>
              <w:rPr>
                <w:rFonts w:ascii="Arial" w:hAnsi="Arial" w:cs="Arial"/>
                <w:b/>
                <w:bCs/>
              </w:rPr>
              <w:t>26.37</w:t>
            </w:r>
          </w:p>
        </w:tc>
        <w:tc>
          <w:tcPr>
            <w:tcW w:w="1368" w:type="dxa"/>
            <w:vAlign w:val="bottom"/>
          </w:tcPr>
          <w:p w:rsidR="00000000" w:rsidRDefault="00657A20">
            <w:pPr>
              <w:jc w:val="right"/>
              <w:rPr>
                <w:rFonts w:ascii="Arial" w:hAnsi="Arial" w:cs="Arial"/>
                <w:b/>
                <w:bCs/>
              </w:rPr>
            </w:pPr>
            <w:r>
              <w:rPr>
                <w:rFonts w:ascii="Arial" w:hAnsi="Arial" w:cs="Arial"/>
                <w:b/>
                <w:bCs/>
              </w:rPr>
              <w:t>0.1</w:t>
            </w:r>
          </w:p>
        </w:tc>
        <w:tc>
          <w:tcPr>
            <w:tcW w:w="1368" w:type="dxa"/>
            <w:vAlign w:val="bottom"/>
          </w:tcPr>
          <w:p w:rsidR="00000000" w:rsidRDefault="00657A20">
            <w:pPr>
              <w:jc w:val="right"/>
              <w:rPr>
                <w:rFonts w:ascii="Arial" w:hAnsi="Arial" w:cs="Arial"/>
                <w:b/>
                <w:bCs/>
              </w:rPr>
            </w:pPr>
            <w:r>
              <w:rPr>
                <w:rFonts w:ascii="Arial" w:hAnsi="Arial" w:cs="Arial"/>
                <w:b/>
                <w:bCs/>
              </w:rPr>
              <w:t>-4.6</w:t>
            </w:r>
          </w:p>
        </w:tc>
        <w:tc>
          <w:tcPr>
            <w:tcW w:w="1368" w:type="dxa"/>
            <w:vAlign w:val="bottom"/>
          </w:tcPr>
          <w:p w:rsidR="00000000" w:rsidRDefault="00657A20">
            <w:pPr>
              <w:jc w:val="right"/>
              <w:rPr>
                <w:rFonts w:ascii="Arial" w:hAnsi="Arial" w:cs="Arial"/>
                <w:b/>
                <w:bCs/>
              </w:rPr>
            </w:pPr>
            <w:r>
              <w:rPr>
                <w:rFonts w:ascii="Arial" w:hAnsi="Arial" w:cs="Arial"/>
                <w:b/>
                <w:bCs/>
              </w:rPr>
              <w:t>21.16</w:t>
            </w:r>
          </w:p>
        </w:tc>
      </w:tr>
      <w:tr w:rsidR="00000000">
        <w:tblPrEx>
          <w:tblCellMar>
            <w:top w:w="0" w:type="dxa"/>
            <w:bottom w:w="0" w:type="dxa"/>
          </w:tblCellMar>
        </w:tblPrEx>
        <w:tc>
          <w:tcPr>
            <w:tcW w:w="1368" w:type="dxa"/>
          </w:tcPr>
          <w:p w:rsidR="00000000" w:rsidRDefault="00657A20">
            <w:pPr>
              <w:jc w:val="center"/>
              <w:rPr>
                <w:b/>
                <w:bCs/>
              </w:rPr>
            </w:pPr>
            <w:r>
              <w:rPr>
                <w:b/>
                <w:bCs/>
              </w:rPr>
              <w:t>9</w:t>
            </w:r>
          </w:p>
        </w:tc>
        <w:tc>
          <w:tcPr>
            <w:tcW w:w="1368" w:type="dxa"/>
            <w:vAlign w:val="bottom"/>
          </w:tcPr>
          <w:p w:rsidR="00000000" w:rsidRDefault="00657A20">
            <w:pPr>
              <w:jc w:val="right"/>
              <w:rPr>
                <w:rFonts w:ascii="Arial" w:hAnsi="Arial" w:cs="Arial"/>
                <w:b/>
                <w:bCs/>
              </w:rPr>
            </w:pPr>
            <w:r>
              <w:rPr>
                <w:rFonts w:ascii="Arial" w:hAnsi="Arial" w:cs="Arial"/>
                <w:b/>
                <w:bCs/>
              </w:rPr>
              <w:t>0.5</w:t>
            </w:r>
          </w:p>
        </w:tc>
        <w:tc>
          <w:tcPr>
            <w:tcW w:w="1368" w:type="dxa"/>
            <w:vAlign w:val="bottom"/>
          </w:tcPr>
          <w:p w:rsidR="00000000" w:rsidRDefault="00657A20">
            <w:pPr>
              <w:jc w:val="right"/>
              <w:rPr>
                <w:rFonts w:ascii="Arial" w:hAnsi="Arial" w:cs="Arial"/>
                <w:b/>
                <w:bCs/>
              </w:rPr>
            </w:pPr>
            <w:r>
              <w:rPr>
                <w:rFonts w:ascii="Arial" w:hAnsi="Arial" w:cs="Arial"/>
                <w:b/>
                <w:bCs/>
              </w:rPr>
              <w:t>-4.9</w:t>
            </w:r>
          </w:p>
        </w:tc>
        <w:tc>
          <w:tcPr>
            <w:tcW w:w="1368" w:type="dxa"/>
            <w:vAlign w:val="bottom"/>
          </w:tcPr>
          <w:p w:rsidR="00000000" w:rsidRDefault="00657A20">
            <w:pPr>
              <w:jc w:val="right"/>
              <w:rPr>
                <w:rFonts w:ascii="Arial" w:hAnsi="Arial" w:cs="Arial"/>
                <w:b/>
                <w:bCs/>
              </w:rPr>
            </w:pPr>
            <w:r>
              <w:rPr>
                <w:rFonts w:ascii="Arial" w:hAnsi="Arial" w:cs="Arial"/>
                <w:b/>
                <w:bCs/>
              </w:rPr>
              <w:t>24.35</w:t>
            </w:r>
          </w:p>
        </w:tc>
        <w:tc>
          <w:tcPr>
            <w:tcW w:w="1368" w:type="dxa"/>
            <w:vAlign w:val="bottom"/>
          </w:tcPr>
          <w:p w:rsidR="00000000" w:rsidRDefault="00657A20">
            <w:pPr>
              <w:jc w:val="right"/>
              <w:rPr>
                <w:rFonts w:ascii="Arial" w:hAnsi="Arial" w:cs="Arial"/>
                <w:b/>
                <w:bCs/>
              </w:rPr>
            </w:pPr>
            <w:r>
              <w:rPr>
                <w:rFonts w:ascii="Arial" w:hAnsi="Arial" w:cs="Arial"/>
                <w:b/>
                <w:bCs/>
              </w:rPr>
              <w:t>2.7</w:t>
            </w:r>
          </w:p>
        </w:tc>
        <w:tc>
          <w:tcPr>
            <w:tcW w:w="1368" w:type="dxa"/>
            <w:vAlign w:val="bottom"/>
          </w:tcPr>
          <w:p w:rsidR="00000000" w:rsidRDefault="00657A20">
            <w:pPr>
              <w:jc w:val="right"/>
              <w:rPr>
                <w:rFonts w:ascii="Arial" w:hAnsi="Arial" w:cs="Arial"/>
                <w:b/>
                <w:bCs/>
              </w:rPr>
            </w:pPr>
            <w:r>
              <w:rPr>
                <w:rFonts w:ascii="Arial" w:hAnsi="Arial" w:cs="Arial"/>
                <w:b/>
                <w:bCs/>
              </w:rPr>
              <w:t>-2.0</w:t>
            </w:r>
          </w:p>
        </w:tc>
        <w:tc>
          <w:tcPr>
            <w:tcW w:w="1368" w:type="dxa"/>
            <w:vAlign w:val="bottom"/>
          </w:tcPr>
          <w:p w:rsidR="00000000" w:rsidRDefault="00657A20">
            <w:pPr>
              <w:jc w:val="right"/>
              <w:rPr>
                <w:rFonts w:ascii="Arial" w:hAnsi="Arial" w:cs="Arial"/>
                <w:b/>
                <w:bCs/>
              </w:rPr>
            </w:pPr>
            <w:r>
              <w:rPr>
                <w:rFonts w:ascii="Arial" w:hAnsi="Arial" w:cs="Arial"/>
                <w:b/>
                <w:bCs/>
              </w:rPr>
              <w:t>4.00</w:t>
            </w:r>
          </w:p>
        </w:tc>
      </w:tr>
      <w:tr w:rsidR="00000000">
        <w:tblPrEx>
          <w:tblCellMar>
            <w:top w:w="0" w:type="dxa"/>
            <w:bottom w:w="0" w:type="dxa"/>
          </w:tblCellMar>
        </w:tblPrEx>
        <w:tc>
          <w:tcPr>
            <w:tcW w:w="1368" w:type="dxa"/>
          </w:tcPr>
          <w:p w:rsidR="00000000" w:rsidRDefault="00657A20">
            <w:pPr>
              <w:jc w:val="center"/>
              <w:rPr>
                <w:b/>
                <w:bCs/>
              </w:rPr>
            </w:pPr>
            <w:r>
              <w:rPr>
                <w:b/>
                <w:bCs/>
              </w:rPr>
              <w:t>10</w:t>
            </w:r>
          </w:p>
        </w:tc>
        <w:tc>
          <w:tcPr>
            <w:tcW w:w="1368" w:type="dxa"/>
            <w:vAlign w:val="bottom"/>
          </w:tcPr>
          <w:p w:rsidR="00000000" w:rsidRDefault="00657A20">
            <w:pPr>
              <w:jc w:val="right"/>
              <w:rPr>
                <w:rFonts w:ascii="Arial" w:hAnsi="Arial" w:cs="Arial"/>
                <w:b/>
                <w:bCs/>
              </w:rPr>
            </w:pPr>
            <w:r>
              <w:rPr>
                <w:rFonts w:ascii="Arial" w:hAnsi="Arial" w:cs="Arial"/>
                <w:b/>
                <w:bCs/>
              </w:rPr>
              <w:t>15.0</w:t>
            </w:r>
          </w:p>
        </w:tc>
        <w:tc>
          <w:tcPr>
            <w:tcW w:w="1368" w:type="dxa"/>
            <w:vAlign w:val="bottom"/>
          </w:tcPr>
          <w:p w:rsidR="00000000" w:rsidRDefault="00657A20">
            <w:pPr>
              <w:jc w:val="right"/>
              <w:rPr>
                <w:rFonts w:ascii="Arial" w:hAnsi="Arial" w:cs="Arial"/>
                <w:b/>
                <w:bCs/>
              </w:rPr>
            </w:pPr>
            <w:r>
              <w:rPr>
                <w:rFonts w:ascii="Arial" w:hAnsi="Arial" w:cs="Arial"/>
                <w:b/>
                <w:bCs/>
              </w:rPr>
              <w:t>9.6</w:t>
            </w:r>
          </w:p>
        </w:tc>
        <w:tc>
          <w:tcPr>
            <w:tcW w:w="1368" w:type="dxa"/>
            <w:vAlign w:val="bottom"/>
          </w:tcPr>
          <w:p w:rsidR="00000000" w:rsidRDefault="00657A20">
            <w:pPr>
              <w:jc w:val="right"/>
              <w:rPr>
                <w:rFonts w:ascii="Arial" w:hAnsi="Arial" w:cs="Arial"/>
                <w:b/>
                <w:bCs/>
              </w:rPr>
            </w:pPr>
            <w:r>
              <w:rPr>
                <w:rFonts w:ascii="Arial" w:hAnsi="Arial" w:cs="Arial"/>
                <w:b/>
                <w:bCs/>
              </w:rPr>
              <w:t>91.49</w:t>
            </w:r>
          </w:p>
        </w:tc>
        <w:tc>
          <w:tcPr>
            <w:tcW w:w="1368" w:type="dxa"/>
            <w:vAlign w:val="bottom"/>
          </w:tcPr>
          <w:p w:rsidR="00000000" w:rsidRDefault="00657A20">
            <w:pPr>
              <w:jc w:val="right"/>
              <w:rPr>
                <w:rFonts w:ascii="Arial" w:hAnsi="Arial" w:cs="Arial"/>
                <w:b/>
                <w:bCs/>
              </w:rPr>
            </w:pPr>
            <w:r>
              <w:rPr>
                <w:rFonts w:ascii="Arial" w:hAnsi="Arial" w:cs="Arial"/>
                <w:b/>
                <w:bCs/>
              </w:rPr>
              <w:t>17.0</w:t>
            </w:r>
          </w:p>
        </w:tc>
        <w:tc>
          <w:tcPr>
            <w:tcW w:w="1368" w:type="dxa"/>
            <w:vAlign w:val="bottom"/>
          </w:tcPr>
          <w:p w:rsidR="00000000" w:rsidRDefault="00657A20">
            <w:pPr>
              <w:jc w:val="right"/>
              <w:rPr>
                <w:rFonts w:ascii="Arial" w:hAnsi="Arial" w:cs="Arial"/>
                <w:b/>
                <w:bCs/>
              </w:rPr>
            </w:pPr>
            <w:r>
              <w:rPr>
                <w:rFonts w:ascii="Arial" w:hAnsi="Arial" w:cs="Arial"/>
                <w:b/>
                <w:bCs/>
              </w:rPr>
              <w:t>12.3</w:t>
            </w:r>
          </w:p>
        </w:tc>
        <w:tc>
          <w:tcPr>
            <w:tcW w:w="1368" w:type="dxa"/>
            <w:vAlign w:val="bottom"/>
          </w:tcPr>
          <w:p w:rsidR="00000000" w:rsidRDefault="00657A20">
            <w:pPr>
              <w:jc w:val="right"/>
              <w:rPr>
                <w:rFonts w:ascii="Arial" w:hAnsi="Arial" w:cs="Arial"/>
                <w:b/>
                <w:bCs/>
              </w:rPr>
            </w:pPr>
            <w:r>
              <w:rPr>
                <w:rFonts w:ascii="Arial" w:hAnsi="Arial" w:cs="Arial"/>
                <w:b/>
                <w:bCs/>
              </w:rPr>
              <w:t>1</w:t>
            </w:r>
            <w:r>
              <w:rPr>
                <w:rFonts w:ascii="Arial" w:hAnsi="Arial" w:cs="Arial"/>
                <w:b/>
                <w:bCs/>
              </w:rPr>
              <w:t>51.29</w:t>
            </w:r>
          </w:p>
        </w:tc>
      </w:tr>
      <w:tr w:rsidR="00000000">
        <w:tblPrEx>
          <w:tblCellMar>
            <w:top w:w="0" w:type="dxa"/>
            <w:bottom w:w="0" w:type="dxa"/>
          </w:tblCellMar>
        </w:tblPrEx>
        <w:tc>
          <w:tcPr>
            <w:tcW w:w="1368" w:type="dxa"/>
          </w:tcPr>
          <w:p w:rsidR="00000000" w:rsidRDefault="00657A20">
            <w:pPr>
              <w:jc w:val="center"/>
              <w:rPr>
                <w:b/>
                <w:bCs/>
              </w:rPr>
            </w:pPr>
            <w:r>
              <w:rPr>
                <w:b/>
                <w:bCs/>
              </w:rPr>
              <w:t>11</w:t>
            </w:r>
          </w:p>
        </w:tc>
        <w:tc>
          <w:tcPr>
            <w:tcW w:w="1368" w:type="dxa"/>
            <w:vAlign w:val="bottom"/>
          </w:tcPr>
          <w:p w:rsidR="00000000" w:rsidRDefault="00657A20">
            <w:pPr>
              <w:jc w:val="right"/>
              <w:rPr>
                <w:rFonts w:ascii="Arial" w:hAnsi="Arial" w:cs="Arial"/>
                <w:b/>
                <w:bCs/>
              </w:rPr>
            </w:pPr>
            <w:r>
              <w:rPr>
                <w:rFonts w:ascii="Arial" w:hAnsi="Arial" w:cs="Arial"/>
                <w:b/>
                <w:bCs/>
              </w:rPr>
              <w:t>20.0</w:t>
            </w:r>
          </w:p>
        </w:tc>
        <w:tc>
          <w:tcPr>
            <w:tcW w:w="1368" w:type="dxa"/>
            <w:vAlign w:val="bottom"/>
          </w:tcPr>
          <w:p w:rsidR="00000000" w:rsidRDefault="00657A20">
            <w:pPr>
              <w:jc w:val="right"/>
              <w:rPr>
                <w:rFonts w:ascii="Arial" w:hAnsi="Arial" w:cs="Arial"/>
                <w:b/>
                <w:bCs/>
              </w:rPr>
            </w:pPr>
            <w:r>
              <w:rPr>
                <w:rFonts w:ascii="Arial" w:hAnsi="Arial" w:cs="Arial"/>
                <w:b/>
                <w:bCs/>
              </w:rPr>
              <w:t>14.6</w:t>
            </w:r>
          </w:p>
        </w:tc>
        <w:tc>
          <w:tcPr>
            <w:tcW w:w="1368" w:type="dxa"/>
            <w:vAlign w:val="bottom"/>
          </w:tcPr>
          <w:p w:rsidR="00000000" w:rsidRDefault="00657A20">
            <w:pPr>
              <w:jc w:val="right"/>
              <w:rPr>
                <w:rFonts w:ascii="Arial" w:hAnsi="Arial" w:cs="Arial"/>
                <w:b/>
                <w:bCs/>
              </w:rPr>
            </w:pPr>
            <w:r>
              <w:rPr>
                <w:rFonts w:ascii="Arial" w:hAnsi="Arial" w:cs="Arial"/>
                <w:b/>
                <w:bCs/>
              </w:rPr>
              <w:t>212.14</w:t>
            </w:r>
          </w:p>
        </w:tc>
        <w:tc>
          <w:tcPr>
            <w:tcW w:w="1368" w:type="dxa"/>
            <w:vAlign w:val="bottom"/>
          </w:tcPr>
          <w:p w:rsidR="00000000" w:rsidRDefault="00657A20">
            <w:pPr>
              <w:jc w:val="right"/>
              <w:rPr>
                <w:rFonts w:ascii="Arial" w:hAnsi="Arial" w:cs="Arial"/>
                <w:b/>
                <w:bCs/>
              </w:rPr>
            </w:pPr>
            <w:r>
              <w:rPr>
                <w:rFonts w:ascii="Arial" w:hAnsi="Arial" w:cs="Arial"/>
                <w:b/>
                <w:bCs/>
              </w:rPr>
              <w:t>30.0</w:t>
            </w:r>
          </w:p>
        </w:tc>
        <w:tc>
          <w:tcPr>
            <w:tcW w:w="1368" w:type="dxa"/>
            <w:vAlign w:val="bottom"/>
          </w:tcPr>
          <w:p w:rsidR="00000000" w:rsidRDefault="00657A20">
            <w:pPr>
              <w:jc w:val="right"/>
              <w:rPr>
                <w:rFonts w:ascii="Arial" w:hAnsi="Arial" w:cs="Arial"/>
                <w:b/>
                <w:bCs/>
              </w:rPr>
            </w:pPr>
            <w:r>
              <w:rPr>
                <w:rFonts w:ascii="Arial" w:hAnsi="Arial" w:cs="Arial"/>
                <w:b/>
                <w:bCs/>
              </w:rPr>
              <w:t>25.3</w:t>
            </w:r>
          </w:p>
        </w:tc>
        <w:tc>
          <w:tcPr>
            <w:tcW w:w="1368" w:type="dxa"/>
            <w:vAlign w:val="bottom"/>
          </w:tcPr>
          <w:p w:rsidR="00000000" w:rsidRDefault="00657A20">
            <w:pPr>
              <w:jc w:val="right"/>
              <w:rPr>
                <w:rFonts w:ascii="Arial" w:hAnsi="Arial" w:cs="Arial"/>
                <w:b/>
                <w:bCs/>
              </w:rPr>
            </w:pPr>
            <w:r>
              <w:rPr>
                <w:rFonts w:ascii="Arial" w:hAnsi="Arial" w:cs="Arial"/>
                <w:b/>
                <w:bCs/>
              </w:rPr>
              <w:t>640.09</w:t>
            </w:r>
          </w:p>
        </w:tc>
      </w:tr>
      <w:tr w:rsidR="00000000">
        <w:tblPrEx>
          <w:tblCellMar>
            <w:top w:w="0" w:type="dxa"/>
            <w:bottom w:w="0" w:type="dxa"/>
          </w:tblCellMar>
        </w:tblPrEx>
        <w:tc>
          <w:tcPr>
            <w:tcW w:w="1368" w:type="dxa"/>
          </w:tcPr>
          <w:p w:rsidR="00000000" w:rsidRDefault="00657A20">
            <w:pPr>
              <w:jc w:val="center"/>
              <w:rPr>
                <w:b/>
                <w:bCs/>
              </w:rPr>
            </w:pPr>
            <w:r>
              <w:rPr>
                <w:b/>
                <w:bCs/>
              </w:rPr>
              <w:t>12</w:t>
            </w:r>
          </w:p>
        </w:tc>
        <w:tc>
          <w:tcPr>
            <w:tcW w:w="1368" w:type="dxa"/>
            <w:vAlign w:val="bottom"/>
          </w:tcPr>
          <w:p w:rsidR="00000000" w:rsidRDefault="00657A20">
            <w:pPr>
              <w:jc w:val="right"/>
              <w:rPr>
                <w:rFonts w:ascii="Arial" w:hAnsi="Arial" w:cs="Arial"/>
                <w:b/>
                <w:bCs/>
              </w:rPr>
            </w:pPr>
            <w:r>
              <w:rPr>
                <w:rFonts w:ascii="Arial" w:hAnsi="Arial" w:cs="Arial"/>
                <w:b/>
                <w:bCs/>
              </w:rPr>
              <w:t>0.4</w:t>
            </w:r>
          </w:p>
        </w:tc>
        <w:tc>
          <w:tcPr>
            <w:tcW w:w="1368" w:type="dxa"/>
            <w:vAlign w:val="bottom"/>
          </w:tcPr>
          <w:p w:rsidR="00000000" w:rsidRDefault="00657A20">
            <w:pPr>
              <w:jc w:val="right"/>
              <w:rPr>
                <w:rFonts w:ascii="Arial" w:hAnsi="Arial" w:cs="Arial"/>
                <w:b/>
                <w:bCs/>
              </w:rPr>
            </w:pPr>
            <w:r>
              <w:rPr>
                <w:rFonts w:ascii="Arial" w:hAnsi="Arial" w:cs="Arial"/>
                <w:b/>
                <w:bCs/>
              </w:rPr>
              <w:t>-5.0</w:t>
            </w:r>
          </w:p>
        </w:tc>
        <w:tc>
          <w:tcPr>
            <w:tcW w:w="1368" w:type="dxa"/>
            <w:vAlign w:val="bottom"/>
          </w:tcPr>
          <w:p w:rsidR="00000000" w:rsidRDefault="00657A20">
            <w:pPr>
              <w:jc w:val="right"/>
              <w:rPr>
                <w:rFonts w:ascii="Arial" w:hAnsi="Arial" w:cs="Arial"/>
                <w:b/>
                <w:bCs/>
              </w:rPr>
            </w:pPr>
            <w:r>
              <w:rPr>
                <w:rFonts w:ascii="Arial" w:hAnsi="Arial" w:cs="Arial"/>
                <w:b/>
                <w:bCs/>
              </w:rPr>
              <w:t>25.35</w:t>
            </w:r>
          </w:p>
        </w:tc>
        <w:tc>
          <w:tcPr>
            <w:tcW w:w="1368" w:type="dxa"/>
            <w:vAlign w:val="bottom"/>
          </w:tcPr>
          <w:p w:rsidR="00000000" w:rsidRDefault="00657A20">
            <w:pPr>
              <w:jc w:val="right"/>
              <w:rPr>
                <w:rFonts w:ascii="Arial" w:hAnsi="Arial" w:cs="Arial"/>
                <w:b/>
                <w:bCs/>
              </w:rPr>
            </w:pPr>
            <w:r>
              <w:rPr>
                <w:rFonts w:ascii="Arial" w:hAnsi="Arial" w:cs="Arial"/>
                <w:b/>
                <w:bCs/>
              </w:rPr>
              <w:t>3.7</w:t>
            </w:r>
          </w:p>
        </w:tc>
        <w:tc>
          <w:tcPr>
            <w:tcW w:w="1368" w:type="dxa"/>
            <w:vAlign w:val="bottom"/>
          </w:tcPr>
          <w:p w:rsidR="00000000" w:rsidRDefault="00657A20">
            <w:pPr>
              <w:jc w:val="right"/>
              <w:rPr>
                <w:rFonts w:ascii="Arial" w:hAnsi="Arial" w:cs="Arial"/>
                <w:b/>
                <w:bCs/>
              </w:rPr>
            </w:pPr>
            <w:r>
              <w:rPr>
                <w:rFonts w:ascii="Arial" w:hAnsi="Arial" w:cs="Arial"/>
                <w:b/>
                <w:bCs/>
              </w:rPr>
              <w:t>-1.0</w:t>
            </w:r>
          </w:p>
        </w:tc>
        <w:tc>
          <w:tcPr>
            <w:tcW w:w="1368" w:type="dxa"/>
            <w:vAlign w:val="bottom"/>
          </w:tcPr>
          <w:p w:rsidR="00000000" w:rsidRDefault="00657A20">
            <w:pPr>
              <w:jc w:val="right"/>
              <w:rPr>
                <w:rFonts w:ascii="Arial" w:hAnsi="Arial" w:cs="Arial"/>
                <w:b/>
                <w:bCs/>
              </w:rPr>
            </w:pPr>
            <w:r>
              <w:rPr>
                <w:rFonts w:ascii="Arial" w:hAnsi="Arial" w:cs="Arial"/>
                <w:b/>
                <w:bCs/>
              </w:rPr>
              <w:t>1.00</w:t>
            </w:r>
          </w:p>
        </w:tc>
      </w:tr>
      <w:tr w:rsidR="00000000">
        <w:tblPrEx>
          <w:tblCellMar>
            <w:top w:w="0" w:type="dxa"/>
            <w:bottom w:w="0" w:type="dxa"/>
          </w:tblCellMar>
        </w:tblPrEx>
        <w:tc>
          <w:tcPr>
            <w:tcW w:w="1368" w:type="dxa"/>
          </w:tcPr>
          <w:p w:rsidR="00000000" w:rsidRDefault="00657A20">
            <w:pPr>
              <w:jc w:val="center"/>
              <w:rPr>
                <w:b/>
                <w:bCs/>
              </w:rPr>
            </w:pPr>
            <w:r>
              <w:rPr>
                <w:b/>
                <w:bCs/>
              </w:rPr>
              <w:t>13</w:t>
            </w:r>
          </w:p>
        </w:tc>
        <w:tc>
          <w:tcPr>
            <w:tcW w:w="1368" w:type="dxa"/>
            <w:vAlign w:val="bottom"/>
          </w:tcPr>
          <w:p w:rsidR="00000000" w:rsidRDefault="00657A20">
            <w:pPr>
              <w:jc w:val="right"/>
              <w:rPr>
                <w:rFonts w:ascii="Arial" w:hAnsi="Arial" w:cs="Arial"/>
                <w:b/>
                <w:bCs/>
              </w:rPr>
            </w:pPr>
            <w:r>
              <w:rPr>
                <w:rFonts w:ascii="Arial" w:hAnsi="Arial" w:cs="Arial"/>
                <w:b/>
                <w:bCs/>
              </w:rPr>
              <w:t>4.0</w:t>
            </w:r>
          </w:p>
        </w:tc>
        <w:tc>
          <w:tcPr>
            <w:tcW w:w="1368" w:type="dxa"/>
            <w:vAlign w:val="bottom"/>
          </w:tcPr>
          <w:p w:rsidR="00000000" w:rsidRDefault="00657A20">
            <w:pPr>
              <w:jc w:val="right"/>
              <w:rPr>
                <w:rFonts w:ascii="Arial" w:hAnsi="Arial" w:cs="Arial"/>
                <w:b/>
                <w:bCs/>
              </w:rPr>
            </w:pPr>
            <w:r>
              <w:rPr>
                <w:rFonts w:ascii="Arial" w:hAnsi="Arial" w:cs="Arial"/>
                <w:b/>
                <w:bCs/>
              </w:rPr>
              <w:t>-1.4</w:t>
            </w:r>
          </w:p>
        </w:tc>
        <w:tc>
          <w:tcPr>
            <w:tcW w:w="1368" w:type="dxa"/>
            <w:vAlign w:val="bottom"/>
          </w:tcPr>
          <w:p w:rsidR="00000000" w:rsidRDefault="00657A20">
            <w:pPr>
              <w:jc w:val="right"/>
              <w:rPr>
                <w:rFonts w:ascii="Arial" w:hAnsi="Arial" w:cs="Arial"/>
                <w:b/>
                <w:bCs/>
              </w:rPr>
            </w:pPr>
            <w:r>
              <w:rPr>
                <w:rFonts w:ascii="Arial" w:hAnsi="Arial" w:cs="Arial"/>
                <w:b/>
                <w:bCs/>
              </w:rPr>
              <w:t>2.06</w:t>
            </w:r>
          </w:p>
        </w:tc>
        <w:tc>
          <w:tcPr>
            <w:tcW w:w="1368" w:type="dxa"/>
            <w:vAlign w:val="bottom"/>
          </w:tcPr>
          <w:p w:rsidR="00000000" w:rsidRDefault="00657A20">
            <w:pPr>
              <w:jc w:val="right"/>
              <w:rPr>
                <w:rFonts w:ascii="Arial" w:hAnsi="Arial" w:cs="Arial"/>
                <w:b/>
                <w:bCs/>
              </w:rPr>
            </w:pPr>
            <w:r>
              <w:rPr>
                <w:rFonts w:ascii="Arial" w:hAnsi="Arial" w:cs="Arial"/>
                <w:b/>
                <w:bCs/>
              </w:rPr>
              <w:t>1.5</w:t>
            </w:r>
          </w:p>
        </w:tc>
        <w:tc>
          <w:tcPr>
            <w:tcW w:w="1368" w:type="dxa"/>
            <w:vAlign w:val="bottom"/>
          </w:tcPr>
          <w:p w:rsidR="00000000" w:rsidRDefault="00657A20">
            <w:pPr>
              <w:jc w:val="right"/>
              <w:rPr>
                <w:rFonts w:ascii="Arial" w:hAnsi="Arial" w:cs="Arial"/>
                <w:b/>
                <w:bCs/>
              </w:rPr>
            </w:pPr>
            <w:r>
              <w:rPr>
                <w:rFonts w:ascii="Arial" w:hAnsi="Arial" w:cs="Arial"/>
                <w:b/>
                <w:bCs/>
              </w:rPr>
              <w:t>-3.2</w:t>
            </w:r>
          </w:p>
        </w:tc>
        <w:tc>
          <w:tcPr>
            <w:tcW w:w="1368" w:type="dxa"/>
            <w:vAlign w:val="bottom"/>
          </w:tcPr>
          <w:p w:rsidR="00000000" w:rsidRDefault="00657A20">
            <w:pPr>
              <w:jc w:val="right"/>
              <w:rPr>
                <w:rFonts w:ascii="Arial" w:hAnsi="Arial" w:cs="Arial"/>
                <w:b/>
                <w:bCs/>
              </w:rPr>
            </w:pPr>
            <w:r>
              <w:rPr>
                <w:rFonts w:ascii="Arial" w:hAnsi="Arial" w:cs="Arial"/>
                <w:b/>
                <w:bCs/>
              </w:rPr>
              <w:t>10.24</w:t>
            </w:r>
          </w:p>
        </w:tc>
      </w:tr>
      <w:tr w:rsidR="00000000">
        <w:tblPrEx>
          <w:tblCellMar>
            <w:top w:w="0" w:type="dxa"/>
            <w:bottom w:w="0" w:type="dxa"/>
          </w:tblCellMar>
        </w:tblPrEx>
        <w:tc>
          <w:tcPr>
            <w:tcW w:w="1368" w:type="dxa"/>
          </w:tcPr>
          <w:p w:rsidR="00000000" w:rsidRDefault="00657A20">
            <w:pPr>
              <w:jc w:val="center"/>
              <w:rPr>
                <w:b/>
                <w:bCs/>
              </w:rPr>
            </w:pPr>
            <w:r>
              <w:rPr>
                <w:b/>
                <w:bCs/>
              </w:rPr>
              <w:t>14</w:t>
            </w:r>
          </w:p>
        </w:tc>
        <w:tc>
          <w:tcPr>
            <w:tcW w:w="1368" w:type="dxa"/>
            <w:vAlign w:val="bottom"/>
          </w:tcPr>
          <w:p w:rsidR="00000000" w:rsidRDefault="00657A20">
            <w:pPr>
              <w:jc w:val="right"/>
              <w:rPr>
                <w:rFonts w:ascii="Arial" w:hAnsi="Arial" w:cs="Arial"/>
                <w:b/>
                <w:bCs/>
              </w:rPr>
            </w:pPr>
            <w:r>
              <w:rPr>
                <w:rFonts w:ascii="Arial" w:hAnsi="Arial" w:cs="Arial"/>
                <w:b/>
                <w:bCs/>
              </w:rPr>
              <w:t>0.6</w:t>
            </w:r>
          </w:p>
        </w:tc>
        <w:tc>
          <w:tcPr>
            <w:tcW w:w="1368" w:type="dxa"/>
            <w:vAlign w:val="bottom"/>
          </w:tcPr>
          <w:p w:rsidR="00000000" w:rsidRDefault="00657A20">
            <w:pPr>
              <w:jc w:val="right"/>
              <w:rPr>
                <w:rFonts w:ascii="Arial" w:hAnsi="Arial" w:cs="Arial"/>
                <w:b/>
                <w:bCs/>
              </w:rPr>
            </w:pPr>
            <w:r>
              <w:rPr>
                <w:rFonts w:ascii="Arial" w:hAnsi="Arial" w:cs="Arial"/>
                <w:b/>
                <w:bCs/>
              </w:rPr>
              <w:t>-4.8</w:t>
            </w:r>
          </w:p>
        </w:tc>
        <w:tc>
          <w:tcPr>
            <w:tcW w:w="1368" w:type="dxa"/>
            <w:vAlign w:val="bottom"/>
          </w:tcPr>
          <w:p w:rsidR="00000000" w:rsidRDefault="00657A20">
            <w:pPr>
              <w:jc w:val="right"/>
              <w:rPr>
                <w:rFonts w:ascii="Arial" w:hAnsi="Arial" w:cs="Arial"/>
                <w:b/>
                <w:bCs/>
              </w:rPr>
            </w:pPr>
            <w:r>
              <w:rPr>
                <w:rFonts w:ascii="Arial" w:hAnsi="Arial" w:cs="Arial"/>
                <w:b/>
                <w:bCs/>
              </w:rPr>
              <w:t>23.38</w:t>
            </w:r>
          </w:p>
        </w:tc>
        <w:tc>
          <w:tcPr>
            <w:tcW w:w="1368" w:type="dxa"/>
            <w:vAlign w:val="bottom"/>
          </w:tcPr>
          <w:p w:rsidR="00000000" w:rsidRDefault="00657A20">
            <w:pPr>
              <w:jc w:val="right"/>
              <w:rPr>
                <w:rFonts w:ascii="Arial" w:hAnsi="Arial" w:cs="Arial"/>
                <w:b/>
                <w:bCs/>
              </w:rPr>
            </w:pPr>
            <w:r>
              <w:rPr>
                <w:rFonts w:ascii="Arial" w:hAnsi="Arial" w:cs="Arial"/>
                <w:b/>
                <w:bCs/>
              </w:rPr>
              <w:t>5.0</w:t>
            </w:r>
          </w:p>
        </w:tc>
        <w:tc>
          <w:tcPr>
            <w:tcW w:w="1368" w:type="dxa"/>
            <w:vAlign w:val="bottom"/>
          </w:tcPr>
          <w:p w:rsidR="00000000" w:rsidRDefault="00657A20">
            <w:pPr>
              <w:jc w:val="right"/>
              <w:rPr>
                <w:rFonts w:ascii="Arial" w:hAnsi="Arial" w:cs="Arial"/>
                <w:b/>
                <w:bCs/>
              </w:rPr>
            </w:pPr>
            <w:r>
              <w:rPr>
                <w:rFonts w:ascii="Arial" w:hAnsi="Arial" w:cs="Arial"/>
                <w:b/>
                <w:bCs/>
              </w:rPr>
              <w:t>0.3</w:t>
            </w:r>
          </w:p>
        </w:tc>
        <w:tc>
          <w:tcPr>
            <w:tcW w:w="1368" w:type="dxa"/>
            <w:vAlign w:val="bottom"/>
          </w:tcPr>
          <w:p w:rsidR="00000000" w:rsidRDefault="00657A20">
            <w:pPr>
              <w:jc w:val="right"/>
              <w:rPr>
                <w:rFonts w:ascii="Arial" w:hAnsi="Arial" w:cs="Arial"/>
                <w:b/>
                <w:bCs/>
              </w:rPr>
            </w:pPr>
            <w:r>
              <w:rPr>
                <w:rFonts w:ascii="Arial" w:hAnsi="Arial" w:cs="Arial"/>
                <w:b/>
                <w:bCs/>
              </w:rPr>
              <w:t>0.09</w:t>
            </w:r>
          </w:p>
        </w:tc>
      </w:tr>
      <w:tr w:rsidR="00000000">
        <w:tblPrEx>
          <w:tblCellMar>
            <w:top w:w="0" w:type="dxa"/>
            <w:bottom w:w="0" w:type="dxa"/>
          </w:tblCellMar>
        </w:tblPrEx>
        <w:tc>
          <w:tcPr>
            <w:tcW w:w="1368" w:type="dxa"/>
          </w:tcPr>
          <w:p w:rsidR="00000000" w:rsidRDefault="00657A20">
            <w:pPr>
              <w:jc w:val="center"/>
              <w:rPr>
                <w:b/>
                <w:bCs/>
              </w:rPr>
            </w:pPr>
            <w:r>
              <w:rPr>
                <w:b/>
                <w:bCs/>
              </w:rPr>
              <w:t>15</w:t>
            </w:r>
          </w:p>
        </w:tc>
        <w:tc>
          <w:tcPr>
            <w:tcW w:w="1368" w:type="dxa"/>
            <w:vAlign w:val="bottom"/>
          </w:tcPr>
          <w:p w:rsidR="00000000" w:rsidRDefault="00657A20">
            <w:pPr>
              <w:jc w:val="right"/>
              <w:rPr>
                <w:rFonts w:ascii="Arial" w:hAnsi="Arial" w:cs="Arial"/>
                <w:b/>
                <w:bCs/>
              </w:rPr>
            </w:pPr>
            <w:r>
              <w:rPr>
                <w:rFonts w:ascii="Arial" w:hAnsi="Arial" w:cs="Arial"/>
                <w:b/>
                <w:bCs/>
              </w:rPr>
              <w:t>1.5</w:t>
            </w:r>
          </w:p>
        </w:tc>
        <w:tc>
          <w:tcPr>
            <w:tcW w:w="1368" w:type="dxa"/>
            <w:vAlign w:val="bottom"/>
          </w:tcPr>
          <w:p w:rsidR="00000000" w:rsidRDefault="00657A20">
            <w:pPr>
              <w:jc w:val="right"/>
              <w:rPr>
                <w:rFonts w:ascii="Arial" w:hAnsi="Arial" w:cs="Arial"/>
                <w:b/>
                <w:bCs/>
              </w:rPr>
            </w:pPr>
            <w:r>
              <w:rPr>
                <w:rFonts w:ascii="Arial" w:hAnsi="Arial" w:cs="Arial"/>
                <w:b/>
                <w:bCs/>
              </w:rPr>
              <w:t>-3.9</w:t>
            </w:r>
          </w:p>
        </w:tc>
        <w:tc>
          <w:tcPr>
            <w:tcW w:w="1368" w:type="dxa"/>
            <w:vAlign w:val="bottom"/>
          </w:tcPr>
          <w:p w:rsidR="00000000" w:rsidRDefault="00657A20">
            <w:pPr>
              <w:jc w:val="right"/>
              <w:rPr>
                <w:rFonts w:ascii="Arial" w:hAnsi="Arial" w:cs="Arial"/>
                <w:b/>
                <w:bCs/>
              </w:rPr>
            </w:pPr>
            <w:r>
              <w:rPr>
                <w:rFonts w:ascii="Arial" w:hAnsi="Arial" w:cs="Arial"/>
                <w:b/>
                <w:bCs/>
              </w:rPr>
              <w:t>15.48</w:t>
            </w:r>
          </w:p>
        </w:tc>
        <w:tc>
          <w:tcPr>
            <w:tcW w:w="1368" w:type="dxa"/>
            <w:vAlign w:val="bottom"/>
          </w:tcPr>
          <w:p w:rsidR="00000000" w:rsidRDefault="00657A20">
            <w:pPr>
              <w:jc w:val="right"/>
              <w:rPr>
                <w:rFonts w:ascii="Arial" w:hAnsi="Arial" w:cs="Arial"/>
                <w:b/>
                <w:bCs/>
              </w:rPr>
            </w:pPr>
            <w:r>
              <w:rPr>
                <w:rFonts w:ascii="Arial" w:hAnsi="Arial" w:cs="Arial"/>
                <w:b/>
                <w:bCs/>
              </w:rPr>
              <w:t>1.4</w:t>
            </w:r>
          </w:p>
        </w:tc>
        <w:tc>
          <w:tcPr>
            <w:tcW w:w="1368" w:type="dxa"/>
            <w:vAlign w:val="bottom"/>
          </w:tcPr>
          <w:p w:rsidR="00000000" w:rsidRDefault="00657A20">
            <w:pPr>
              <w:jc w:val="right"/>
              <w:rPr>
                <w:rFonts w:ascii="Arial" w:hAnsi="Arial" w:cs="Arial"/>
                <w:b/>
                <w:bCs/>
              </w:rPr>
            </w:pPr>
            <w:r>
              <w:rPr>
                <w:rFonts w:ascii="Arial" w:hAnsi="Arial" w:cs="Arial"/>
                <w:b/>
                <w:bCs/>
              </w:rPr>
              <w:t>-3.3</w:t>
            </w:r>
          </w:p>
        </w:tc>
        <w:tc>
          <w:tcPr>
            <w:tcW w:w="1368" w:type="dxa"/>
            <w:vAlign w:val="bottom"/>
          </w:tcPr>
          <w:p w:rsidR="00000000" w:rsidRDefault="00657A20">
            <w:pPr>
              <w:jc w:val="right"/>
              <w:rPr>
                <w:rFonts w:ascii="Arial" w:hAnsi="Arial" w:cs="Arial"/>
                <w:b/>
                <w:bCs/>
              </w:rPr>
            </w:pPr>
            <w:r>
              <w:rPr>
                <w:rFonts w:ascii="Arial" w:hAnsi="Arial" w:cs="Arial"/>
                <w:b/>
                <w:bCs/>
              </w:rPr>
              <w:t>10.89</w:t>
            </w:r>
          </w:p>
        </w:tc>
      </w:tr>
      <w:tr w:rsidR="00000000">
        <w:tblPrEx>
          <w:tblCellMar>
            <w:top w:w="0" w:type="dxa"/>
            <w:bottom w:w="0" w:type="dxa"/>
          </w:tblCellMar>
        </w:tblPrEx>
        <w:tc>
          <w:tcPr>
            <w:tcW w:w="1368" w:type="dxa"/>
          </w:tcPr>
          <w:p w:rsidR="00000000" w:rsidRDefault="00657A20">
            <w:pPr>
              <w:jc w:val="center"/>
              <w:rPr>
                <w:b/>
                <w:bCs/>
              </w:rPr>
            </w:pPr>
            <w:r>
              <w:rPr>
                <w:b/>
                <w:bCs/>
              </w:rPr>
              <w:t>16</w:t>
            </w:r>
          </w:p>
        </w:tc>
        <w:tc>
          <w:tcPr>
            <w:tcW w:w="1368" w:type="dxa"/>
            <w:vAlign w:val="bottom"/>
          </w:tcPr>
          <w:p w:rsidR="00000000" w:rsidRDefault="00657A20">
            <w:pPr>
              <w:jc w:val="right"/>
              <w:rPr>
                <w:rFonts w:ascii="Arial" w:hAnsi="Arial" w:cs="Arial"/>
                <w:b/>
                <w:bCs/>
              </w:rPr>
            </w:pPr>
            <w:r>
              <w:rPr>
                <w:rFonts w:ascii="Arial" w:hAnsi="Arial" w:cs="Arial"/>
                <w:b/>
                <w:bCs/>
              </w:rPr>
              <w:t>5.0</w:t>
            </w:r>
          </w:p>
        </w:tc>
        <w:tc>
          <w:tcPr>
            <w:tcW w:w="1368" w:type="dxa"/>
            <w:vAlign w:val="bottom"/>
          </w:tcPr>
          <w:p w:rsidR="00000000" w:rsidRDefault="00657A20">
            <w:pPr>
              <w:jc w:val="right"/>
              <w:rPr>
                <w:rFonts w:ascii="Arial" w:hAnsi="Arial" w:cs="Arial"/>
                <w:b/>
                <w:bCs/>
              </w:rPr>
            </w:pPr>
            <w:r>
              <w:rPr>
                <w:rFonts w:ascii="Arial" w:hAnsi="Arial" w:cs="Arial"/>
                <w:b/>
                <w:bCs/>
              </w:rPr>
              <w:t>-0.4</w:t>
            </w:r>
          </w:p>
        </w:tc>
        <w:tc>
          <w:tcPr>
            <w:tcW w:w="1368" w:type="dxa"/>
            <w:vAlign w:val="bottom"/>
          </w:tcPr>
          <w:p w:rsidR="00000000" w:rsidRDefault="00657A20">
            <w:pPr>
              <w:jc w:val="right"/>
              <w:rPr>
                <w:rFonts w:ascii="Arial" w:hAnsi="Arial" w:cs="Arial"/>
                <w:b/>
                <w:bCs/>
              </w:rPr>
            </w:pPr>
            <w:r>
              <w:rPr>
                <w:rFonts w:ascii="Arial" w:hAnsi="Arial" w:cs="Arial"/>
                <w:b/>
                <w:bCs/>
              </w:rPr>
              <w:t>0.19</w:t>
            </w:r>
          </w:p>
        </w:tc>
        <w:tc>
          <w:tcPr>
            <w:tcW w:w="1368" w:type="dxa"/>
            <w:vAlign w:val="bottom"/>
          </w:tcPr>
          <w:p w:rsidR="00000000" w:rsidRDefault="00657A20">
            <w:pPr>
              <w:jc w:val="right"/>
              <w:rPr>
                <w:rFonts w:ascii="Arial" w:hAnsi="Arial" w:cs="Arial"/>
                <w:b/>
                <w:bCs/>
              </w:rPr>
            </w:pPr>
            <w:r>
              <w:rPr>
                <w:rFonts w:ascii="Arial" w:hAnsi="Arial" w:cs="Arial"/>
                <w:b/>
                <w:bCs/>
              </w:rPr>
              <w:t>20.0</w:t>
            </w:r>
          </w:p>
        </w:tc>
        <w:tc>
          <w:tcPr>
            <w:tcW w:w="1368" w:type="dxa"/>
            <w:vAlign w:val="bottom"/>
          </w:tcPr>
          <w:p w:rsidR="00000000" w:rsidRDefault="00657A20">
            <w:pPr>
              <w:jc w:val="right"/>
              <w:rPr>
                <w:rFonts w:ascii="Arial" w:hAnsi="Arial" w:cs="Arial"/>
                <w:b/>
                <w:bCs/>
              </w:rPr>
            </w:pPr>
            <w:r>
              <w:rPr>
                <w:rFonts w:ascii="Arial" w:hAnsi="Arial" w:cs="Arial"/>
                <w:b/>
                <w:bCs/>
              </w:rPr>
              <w:t>15.3</w:t>
            </w:r>
          </w:p>
        </w:tc>
        <w:tc>
          <w:tcPr>
            <w:tcW w:w="1368" w:type="dxa"/>
            <w:vAlign w:val="bottom"/>
          </w:tcPr>
          <w:p w:rsidR="00000000" w:rsidRDefault="00657A20">
            <w:pPr>
              <w:jc w:val="right"/>
              <w:rPr>
                <w:rFonts w:ascii="Arial" w:hAnsi="Arial" w:cs="Arial"/>
                <w:b/>
                <w:bCs/>
              </w:rPr>
            </w:pPr>
            <w:r>
              <w:rPr>
                <w:rFonts w:ascii="Arial" w:hAnsi="Arial" w:cs="Arial"/>
                <w:b/>
                <w:bCs/>
              </w:rPr>
              <w:t>234.09</w:t>
            </w:r>
          </w:p>
        </w:tc>
      </w:tr>
      <w:tr w:rsidR="00000000">
        <w:tblPrEx>
          <w:tblCellMar>
            <w:top w:w="0" w:type="dxa"/>
            <w:bottom w:w="0" w:type="dxa"/>
          </w:tblCellMar>
        </w:tblPrEx>
        <w:tc>
          <w:tcPr>
            <w:tcW w:w="1368" w:type="dxa"/>
          </w:tcPr>
          <w:p w:rsidR="00000000" w:rsidRDefault="00657A20">
            <w:pPr>
              <w:jc w:val="center"/>
              <w:rPr>
                <w:b/>
                <w:bCs/>
              </w:rPr>
            </w:pPr>
            <w:r>
              <w:rPr>
                <w:b/>
                <w:bCs/>
              </w:rPr>
              <w:t>17</w:t>
            </w:r>
          </w:p>
        </w:tc>
        <w:tc>
          <w:tcPr>
            <w:tcW w:w="1368" w:type="dxa"/>
            <w:vAlign w:val="bottom"/>
          </w:tcPr>
          <w:p w:rsidR="00000000" w:rsidRDefault="00657A20">
            <w:pPr>
              <w:jc w:val="right"/>
              <w:rPr>
                <w:rFonts w:ascii="Arial" w:hAnsi="Arial" w:cs="Arial"/>
                <w:b/>
                <w:bCs/>
              </w:rPr>
            </w:pPr>
            <w:r>
              <w:rPr>
                <w:rFonts w:ascii="Arial" w:hAnsi="Arial" w:cs="Arial"/>
                <w:b/>
                <w:bCs/>
              </w:rPr>
              <w:t>24.0</w:t>
            </w:r>
          </w:p>
        </w:tc>
        <w:tc>
          <w:tcPr>
            <w:tcW w:w="1368" w:type="dxa"/>
            <w:vAlign w:val="bottom"/>
          </w:tcPr>
          <w:p w:rsidR="00000000" w:rsidRDefault="00657A20">
            <w:pPr>
              <w:jc w:val="right"/>
              <w:rPr>
                <w:rFonts w:ascii="Arial" w:hAnsi="Arial" w:cs="Arial"/>
                <w:b/>
                <w:bCs/>
              </w:rPr>
            </w:pPr>
            <w:r>
              <w:rPr>
                <w:rFonts w:ascii="Arial" w:hAnsi="Arial" w:cs="Arial"/>
                <w:b/>
                <w:bCs/>
              </w:rPr>
              <w:t>18.6</w:t>
            </w:r>
          </w:p>
        </w:tc>
        <w:tc>
          <w:tcPr>
            <w:tcW w:w="1368" w:type="dxa"/>
            <w:vAlign w:val="bottom"/>
          </w:tcPr>
          <w:p w:rsidR="00000000" w:rsidRDefault="00657A20">
            <w:pPr>
              <w:jc w:val="right"/>
              <w:rPr>
                <w:rFonts w:ascii="Arial" w:hAnsi="Arial" w:cs="Arial"/>
                <w:b/>
                <w:bCs/>
              </w:rPr>
            </w:pPr>
            <w:r>
              <w:rPr>
                <w:rFonts w:ascii="Arial" w:hAnsi="Arial" w:cs="Arial"/>
                <w:b/>
                <w:bCs/>
              </w:rPr>
              <w:t>344.66</w:t>
            </w:r>
          </w:p>
        </w:tc>
        <w:tc>
          <w:tcPr>
            <w:tcW w:w="1368" w:type="dxa"/>
            <w:vAlign w:val="bottom"/>
          </w:tcPr>
          <w:p w:rsidR="00000000" w:rsidRDefault="00657A20">
            <w:pPr>
              <w:jc w:val="right"/>
              <w:rPr>
                <w:rFonts w:ascii="Arial" w:hAnsi="Arial" w:cs="Arial"/>
                <w:b/>
                <w:bCs/>
              </w:rPr>
            </w:pPr>
            <w:r>
              <w:rPr>
                <w:rFonts w:ascii="Arial" w:hAnsi="Arial" w:cs="Arial"/>
                <w:b/>
                <w:bCs/>
              </w:rPr>
              <w:t>3.5</w:t>
            </w:r>
          </w:p>
        </w:tc>
        <w:tc>
          <w:tcPr>
            <w:tcW w:w="1368" w:type="dxa"/>
            <w:vAlign w:val="bottom"/>
          </w:tcPr>
          <w:p w:rsidR="00000000" w:rsidRDefault="00657A20">
            <w:pPr>
              <w:jc w:val="right"/>
              <w:rPr>
                <w:rFonts w:ascii="Arial" w:hAnsi="Arial" w:cs="Arial"/>
                <w:b/>
                <w:bCs/>
              </w:rPr>
            </w:pPr>
            <w:r>
              <w:rPr>
                <w:rFonts w:ascii="Arial" w:hAnsi="Arial" w:cs="Arial"/>
                <w:b/>
                <w:bCs/>
              </w:rPr>
              <w:t>-1.2</w:t>
            </w:r>
          </w:p>
        </w:tc>
        <w:tc>
          <w:tcPr>
            <w:tcW w:w="1368" w:type="dxa"/>
            <w:vAlign w:val="bottom"/>
          </w:tcPr>
          <w:p w:rsidR="00000000" w:rsidRDefault="00657A20">
            <w:pPr>
              <w:jc w:val="right"/>
              <w:rPr>
                <w:rFonts w:ascii="Arial" w:hAnsi="Arial" w:cs="Arial"/>
                <w:b/>
                <w:bCs/>
              </w:rPr>
            </w:pPr>
            <w:r>
              <w:rPr>
                <w:rFonts w:ascii="Arial" w:hAnsi="Arial" w:cs="Arial"/>
                <w:b/>
                <w:bCs/>
              </w:rPr>
              <w:t>1.44</w:t>
            </w:r>
          </w:p>
        </w:tc>
      </w:tr>
      <w:tr w:rsidR="00000000">
        <w:tblPrEx>
          <w:tblCellMar>
            <w:top w:w="0" w:type="dxa"/>
            <w:bottom w:w="0" w:type="dxa"/>
          </w:tblCellMar>
        </w:tblPrEx>
        <w:tc>
          <w:tcPr>
            <w:tcW w:w="1368" w:type="dxa"/>
          </w:tcPr>
          <w:p w:rsidR="00000000" w:rsidRDefault="00657A20">
            <w:pPr>
              <w:jc w:val="center"/>
              <w:rPr>
                <w:b/>
                <w:bCs/>
              </w:rPr>
            </w:pPr>
            <w:r>
              <w:rPr>
                <w:b/>
                <w:bCs/>
              </w:rPr>
              <w:t>18</w:t>
            </w:r>
          </w:p>
        </w:tc>
        <w:tc>
          <w:tcPr>
            <w:tcW w:w="1368" w:type="dxa"/>
            <w:vAlign w:val="bottom"/>
          </w:tcPr>
          <w:p w:rsidR="00000000" w:rsidRDefault="00657A20">
            <w:pPr>
              <w:jc w:val="right"/>
              <w:rPr>
                <w:rFonts w:ascii="Arial" w:hAnsi="Arial" w:cs="Arial"/>
                <w:b/>
                <w:bCs/>
              </w:rPr>
            </w:pPr>
            <w:r>
              <w:rPr>
                <w:rFonts w:ascii="Arial" w:hAnsi="Arial" w:cs="Arial"/>
                <w:b/>
                <w:bCs/>
              </w:rPr>
              <w:t>3.0</w:t>
            </w:r>
          </w:p>
        </w:tc>
        <w:tc>
          <w:tcPr>
            <w:tcW w:w="1368" w:type="dxa"/>
            <w:vAlign w:val="bottom"/>
          </w:tcPr>
          <w:p w:rsidR="00000000" w:rsidRDefault="00657A20">
            <w:pPr>
              <w:jc w:val="right"/>
              <w:rPr>
                <w:rFonts w:ascii="Arial" w:hAnsi="Arial" w:cs="Arial"/>
                <w:b/>
                <w:bCs/>
              </w:rPr>
            </w:pPr>
            <w:r>
              <w:rPr>
                <w:rFonts w:ascii="Arial" w:hAnsi="Arial" w:cs="Arial"/>
                <w:b/>
                <w:bCs/>
              </w:rPr>
              <w:t>-2</w:t>
            </w:r>
            <w:r>
              <w:rPr>
                <w:rFonts w:ascii="Arial" w:hAnsi="Arial" w:cs="Arial"/>
                <w:b/>
                <w:bCs/>
              </w:rPr>
              <w:t>.4</w:t>
            </w:r>
          </w:p>
        </w:tc>
        <w:tc>
          <w:tcPr>
            <w:tcW w:w="1368" w:type="dxa"/>
            <w:vAlign w:val="bottom"/>
          </w:tcPr>
          <w:p w:rsidR="00000000" w:rsidRDefault="00657A20">
            <w:pPr>
              <w:jc w:val="right"/>
              <w:rPr>
                <w:rFonts w:ascii="Arial" w:hAnsi="Arial" w:cs="Arial"/>
                <w:b/>
                <w:bCs/>
              </w:rPr>
            </w:pPr>
            <w:r>
              <w:rPr>
                <w:rFonts w:ascii="Arial" w:hAnsi="Arial" w:cs="Arial"/>
                <w:b/>
                <w:bCs/>
              </w:rPr>
              <w:t>5.93</w:t>
            </w:r>
          </w:p>
        </w:tc>
        <w:tc>
          <w:tcPr>
            <w:tcW w:w="1368" w:type="dxa"/>
            <w:vAlign w:val="bottom"/>
          </w:tcPr>
          <w:p w:rsidR="00000000" w:rsidRDefault="00657A20">
            <w:pPr>
              <w:jc w:val="right"/>
              <w:rPr>
                <w:rFonts w:ascii="Arial" w:hAnsi="Arial" w:cs="Arial"/>
                <w:b/>
                <w:bCs/>
              </w:rPr>
            </w:pPr>
            <w:r>
              <w:rPr>
                <w:rFonts w:ascii="Arial" w:hAnsi="Arial" w:cs="Arial"/>
                <w:b/>
                <w:bCs/>
              </w:rPr>
              <w:t>5.0</w:t>
            </w:r>
          </w:p>
        </w:tc>
        <w:tc>
          <w:tcPr>
            <w:tcW w:w="1368" w:type="dxa"/>
            <w:vAlign w:val="bottom"/>
          </w:tcPr>
          <w:p w:rsidR="00000000" w:rsidRDefault="00657A20">
            <w:pPr>
              <w:jc w:val="right"/>
              <w:rPr>
                <w:rFonts w:ascii="Arial" w:hAnsi="Arial" w:cs="Arial"/>
                <w:b/>
                <w:bCs/>
              </w:rPr>
            </w:pPr>
            <w:r>
              <w:rPr>
                <w:rFonts w:ascii="Arial" w:hAnsi="Arial" w:cs="Arial"/>
                <w:b/>
                <w:bCs/>
              </w:rPr>
              <w:t>0.3</w:t>
            </w:r>
          </w:p>
        </w:tc>
        <w:tc>
          <w:tcPr>
            <w:tcW w:w="1368" w:type="dxa"/>
            <w:vAlign w:val="bottom"/>
          </w:tcPr>
          <w:p w:rsidR="00000000" w:rsidRDefault="00657A20">
            <w:pPr>
              <w:jc w:val="right"/>
              <w:rPr>
                <w:rFonts w:ascii="Arial" w:hAnsi="Arial" w:cs="Arial"/>
                <w:b/>
                <w:bCs/>
              </w:rPr>
            </w:pPr>
            <w:r>
              <w:rPr>
                <w:rFonts w:ascii="Arial" w:hAnsi="Arial" w:cs="Arial"/>
                <w:b/>
                <w:bCs/>
              </w:rPr>
              <w:t>0.09</w:t>
            </w:r>
          </w:p>
        </w:tc>
      </w:tr>
      <w:tr w:rsidR="00000000">
        <w:tblPrEx>
          <w:tblCellMar>
            <w:top w:w="0" w:type="dxa"/>
            <w:bottom w:w="0" w:type="dxa"/>
          </w:tblCellMar>
        </w:tblPrEx>
        <w:tc>
          <w:tcPr>
            <w:tcW w:w="1368" w:type="dxa"/>
          </w:tcPr>
          <w:p w:rsidR="00000000" w:rsidRDefault="00657A20">
            <w:pPr>
              <w:jc w:val="center"/>
              <w:rPr>
                <w:b/>
                <w:bCs/>
              </w:rPr>
            </w:pPr>
            <w:r>
              <w:rPr>
                <w:b/>
                <w:bCs/>
              </w:rPr>
              <w:t>19</w:t>
            </w:r>
          </w:p>
        </w:tc>
        <w:tc>
          <w:tcPr>
            <w:tcW w:w="1368" w:type="dxa"/>
            <w:vAlign w:val="bottom"/>
          </w:tcPr>
          <w:p w:rsidR="00000000" w:rsidRDefault="00657A20">
            <w:pPr>
              <w:jc w:val="right"/>
              <w:rPr>
                <w:rFonts w:ascii="Arial" w:hAnsi="Arial" w:cs="Arial"/>
                <w:b/>
                <w:bCs/>
              </w:rPr>
            </w:pPr>
            <w:r>
              <w:rPr>
                <w:rFonts w:ascii="Arial" w:hAnsi="Arial" w:cs="Arial"/>
                <w:b/>
                <w:bCs/>
              </w:rPr>
              <w:t>13.0</w:t>
            </w:r>
          </w:p>
        </w:tc>
        <w:tc>
          <w:tcPr>
            <w:tcW w:w="1368" w:type="dxa"/>
            <w:vAlign w:val="bottom"/>
          </w:tcPr>
          <w:p w:rsidR="00000000" w:rsidRDefault="00657A20">
            <w:pPr>
              <w:jc w:val="right"/>
              <w:rPr>
                <w:rFonts w:ascii="Arial" w:hAnsi="Arial" w:cs="Arial"/>
                <w:b/>
                <w:bCs/>
              </w:rPr>
            </w:pPr>
            <w:r>
              <w:rPr>
                <w:rFonts w:ascii="Arial" w:hAnsi="Arial" w:cs="Arial"/>
                <w:b/>
                <w:bCs/>
              </w:rPr>
              <w:t>7.6</w:t>
            </w:r>
          </w:p>
        </w:tc>
        <w:tc>
          <w:tcPr>
            <w:tcW w:w="1368" w:type="dxa"/>
            <w:vAlign w:val="bottom"/>
          </w:tcPr>
          <w:p w:rsidR="00000000" w:rsidRDefault="00657A20">
            <w:pPr>
              <w:jc w:val="right"/>
              <w:rPr>
                <w:rFonts w:ascii="Arial" w:hAnsi="Arial" w:cs="Arial"/>
                <w:b/>
                <w:bCs/>
              </w:rPr>
            </w:pPr>
            <w:r>
              <w:rPr>
                <w:rFonts w:ascii="Arial" w:hAnsi="Arial" w:cs="Arial"/>
                <w:b/>
                <w:bCs/>
              </w:rPr>
              <w:t>57.23</w:t>
            </w:r>
          </w:p>
        </w:tc>
        <w:tc>
          <w:tcPr>
            <w:tcW w:w="1368" w:type="dxa"/>
            <w:vAlign w:val="bottom"/>
          </w:tcPr>
          <w:p w:rsidR="00000000" w:rsidRDefault="00657A20">
            <w:pPr>
              <w:jc w:val="right"/>
              <w:rPr>
                <w:rFonts w:ascii="Arial" w:hAnsi="Arial" w:cs="Arial"/>
                <w:b/>
                <w:bCs/>
              </w:rPr>
            </w:pPr>
            <w:r>
              <w:rPr>
                <w:rFonts w:ascii="Arial" w:hAnsi="Arial" w:cs="Arial"/>
                <w:b/>
                <w:bCs/>
              </w:rPr>
              <w:t>-24.0</w:t>
            </w:r>
          </w:p>
        </w:tc>
        <w:tc>
          <w:tcPr>
            <w:tcW w:w="1368" w:type="dxa"/>
            <w:vAlign w:val="bottom"/>
          </w:tcPr>
          <w:p w:rsidR="00000000" w:rsidRDefault="00657A20">
            <w:pPr>
              <w:jc w:val="right"/>
              <w:rPr>
                <w:rFonts w:ascii="Arial" w:hAnsi="Arial" w:cs="Arial"/>
                <w:b/>
                <w:bCs/>
              </w:rPr>
            </w:pPr>
            <w:r>
              <w:rPr>
                <w:rFonts w:ascii="Arial" w:hAnsi="Arial" w:cs="Arial"/>
                <w:b/>
                <w:bCs/>
              </w:rPr>
              <w:t>-28.7</w:t>
            </w:r>
          </w:p>
        </w:tc>
        <w:tc>
          <w:tcPr>
            <w:tcW w:w="1368" w:type="dxa"/>
            <w:vAlign w:val="bottom"/>
          </w:tcPr>
          <w:p w:rsidR="00000000" w:rsidRDefault="00657A20">
            <w:pPr>
              <w:jc w:val="right"/>
              <w:rPr>
                <w:rFonts w:ascii="Arial" w:hAnsi="Arial" w:cs="Arial"/>
                <w:b/>
                <w:bCs/>
              </w:rPr>
            </w:pPr>
            <w:r>
              <w:rPr>
                <w:rFonts w:ascii="Arial" w:hAnsi="Arial" w:cs="Arial"/>
                <w:b/>
                <w:bCs/>
              </w:rPr>
              <w:t>823.69</w:t>
            </w:r>
          </w:p>
        </w:tc>
      </w:tr>
      <w:tr w:rsidR="00000000">
        <w:tblPrEx>
          <w:tblCellMar>
            <w:top w:w="0" w:type="dxa"/>
            <w:bottom w:w="0" w:type="dxa"/>
          </w:tblCellMar>
        </w:tblPrEx>
        <w:tc>
          <w:tcPr>
            <w:tcW w:w="1368" w:type="dxa"/>
          </w:tcPr>
          <w:p w:rsidR="00000000" w:rsidRDefault="00657A20">
            <w:pPr>
              <w:jc w:val="center"/>
              <w:rPr>
                <w:b/>
                <w:bCs/>
              </w:rPr>
            </w:pPr>
            <w:r>
              <w:rPr>
                <w:b/>
                <w:bCs/>
              </w:rPr>
              <w:t>20</w:t>
            </w:r>
          </w:p>
        </w:tc>
        <w:tc>
          <w:tcPr>
            <w:tcW w:w="1368" w:type="dxa"/>
            <w:vAlign w:val="bottom"/>
          </w:tcPr>
          <w:p w:rsidR="00000000" w:rsidRDefault="00657A20">
            <w:pPr>
              <w:jc w:val="right"/>
              <w:rPr>
                <w:rFonts w:ascii="Arial" w:hAnsi="Arial" w:cs="Arial"/>
                <w:b/>
                <w:bCs/>
              </w:rPr>
            </w:pPr>
            <w:r>
              <w:rPr>
                <w:rFonts w:ascii="Arial" w:hAnsi="Arial" w:cs="Arial"/>
                <w:b/>
                <w:bCs/>
              </w:rPr>
              <w:t>11.0</w:t>
            </w:r>
          </w:p>
        </w:tc>
        <w:tc>
          <w:tcPr>
            <w:tcW w:w="1368" w:type="dxa"/>
            <w:vAlign w:val="bottom"/>
          </w:tcPr>
          <w:p w:rsidR="00000000" w:rsidRDefault="00657A20">
            <w:pPr>
              <w:jc w:val="right"/>
              <w:rPr>
                <w:rFonts w:ascii="Arial" w:hAnsi="Arial" w:cs="Arial"/>
                <w:b/>
                <w:bCs/>
              </w:rPr>
            </w:pPr>
            <w:r>
              <w:rPr>
                <w:rFonts w:ascii="Arial" w:hAnsi="Arial" w:cs="Arial"/>
                <w:b/>
                <w:bCs/>
              </w:rPr>
              <w:t>5.6</w:t>
            </w:r>
          </w:p>
        </w:tc>
        <w:tc>
          <w:tcPr>
            <w:tcW w:w="1368" w:type="dxa"/>
            <w:vAlign w:val="bottom"/>
          </w:tcPr>
          <w:p w:rsidR="00000000" w:rsidRDefault="00657A20">
            <w:pPr>
              <w:jc w:val="right"/>
              <w:rPr>
                <w:rFonts w:ascii="Arial" w:hAnsi="Arial" w:cs="Arial"/>
                <w:b/>
                <w:bCs/>
              </w:rPr>
            </w:pPr>
            <w:r>
              <w:rPr>
                <w:rFonts w:ascii="Arial" w:hAnsi="Arial" w:cs="Arial"/>
                <w:b/>
                <w:bCs/>
              </w:rPr>
              <w:t>30.97</w:t>
            </w:r>
          </w:p>
        </w:tc>
        <w:tc>
          <w:tcPr>
            <w:tcW w:w="1368" w:type="dxa"/>
            <w:vAlign w:val="bottom"/>
          </w:tcPr>
          <w:p w:rsidR="00000000" w:rsidRDefault="00657A20">
            <w:pPr>
              <w:jc w:val="right"/>
              <w:rPr>
                <w:rFonts w:ascii="Arial" w:hAnsi="Arial" w:cs="Arial"/>
                <w:b/>
                <w:bCs/>
              </w:rPr>
            </w:pPr>
            <w:r>
              <w:rPr>
                <w:rFonts w:ascii="Arial" w:hAnsi="Arial" w:cs="Arial"/>
                <w:b/>
                <w:bCs/>
              </w:rPr>
              <w:t>-13.0</w:t>
            </w:r>
          </w:p>
        </w:tc>
        <w:tc>
          <w:tcPr>
            <w:tcW w:w="1368" w:type="dxa"/>
            <w:vAlign w:val="bottom"/>
          </w:tcPr>
          <w:p w:rsidR="00000000" w:rsidRDefault="00657A20">
            <w:pPr>
              <w:jc w:val="right"/>
              <w:rPr>
                <w:rFonts w:ascii="Arial" w:hAnsi="Arial" w:cs="Arial"/>
                <w:b/>
                <w:bCs/>
              </w:rPr>
            </w:pPr>
            <w:r>
              <w:rPr>
                <w:rFonts w:ascii="Arial" w:hAnsi="Arial" w:cs="Arial"/>
                <w:b/>
                <w:bCs/>
              </w:rPr>
              <w:t>-17.7</w:t>
            </w:r>
          </w:p>
        </w:tc>
        <w:tc>
          <w:tcPr>
            <w:tcW w:w="1368" w:type="dxa"/>
            <w:vAlign w:val="bottom"/>
          </w:tcPr>
          <w:p w:rsidR="00000000" w:rsidRDefault="00657A20">
            <w:pPr>
              <w:jc w:val="right"/>
              <w:rPr>
                <w:rFonts w:ascii="Arial" w:hAnsi="Arial" w:cs="Arial"/>
                <w:b/>
                <w:bCs/>
              </w:rPr>
            </w:pPr>
            <w:r>
              <w:rPr>
                <w:rFonts w:ascii="Arial" w:hAnsi="Arial" w:cs="Arial"/>
                <w:b/>
                <w:bCs/>
              </w:rPr>
              <w:t>313.29</w:t>
            </w:r>
          </w:p>
        </w:tc>
      </w:tr>
    </w:tbl>
    <w:p w:rsidR="00000000" w:rsidRDefault="00657A20">
      <w:pPr>
        <w:pStyle w:val="Heading2"/>
        <w:widowControl/>
        <w:tabs>
          <w:tab w:val="clear" w:pos="3616"/>
        </w:tabs>
        <w:autoSpaceDE/>
        <w:autoSpaceDN/>
        <w:adjustRightInd/>
        <w:rPr>
          <w:bCs/>
        </w:rPr>
      </w:pPr>
    </w:p>
    <w:p w:rsidR="00000000" w:rsidRDefault="00657A20">
      <w:pPr>
        <w:pStyle w:val="Heading2"/>
        <w:widowControl/>
        <w:tabs>
          <w:tab w:val="clear" w:pos="3616"/>
        </w:tabs>
        <w:autoSpaceDE/>
        <w:autoSpaceDN/>
        <w:adjustRightInd/>
        <w:rPr>
          <w:bCs/>
        </w:rPr>
      </w:pPr>
      <w:r>
        <w:rPr>
          <w:rFonts w:ascii="Arial" w:hAnsi="Arial" w:cs="Arial"/>
          <w:noProof/>
        </w:rPr>
        <w:pict>
          <v:shape id="_x0000_s1038" type="#_x0000_t202" style="position:absolute;margin-left:283.05pt;margin-top:-.2pt;width:198pt;height:339.4pt;z-index:251660800" stroked="f" strokeweight="3pt">
            <v:textbox style="mso-next-textbox:#_x0000_s1038">
              <w:txbxContent>
                <w:p w:rsidR="00000000" w:rsidRDefault="00657A20">
                  <w:pPr>
                    <w:pStyle w:val="Heading6"/>
                  </w:pPr>
                  <w:r>
                    <w:t>MIS</w:t>
                  </w:r>
                </w:p>
                <w:p w:rsidR="00000000" w:rsidRDefault="00657A20">
                  <w:pPr>
                    <w:rPr>
                      <w:sz w:val="24"/>
                    </w:rPr>
                  </w:pPr>
                  <w:r>
                    <w:rPr>
                      <w:position w:val="-30"/>
                    </w:rPr>
                    <w:object w:dxaOrig="3280" w:dyaOrig="720">
                      <v:shape id="_x0000_i1109" type="#_x0000_t75" style="width:163.5pt;height:36pt" o:ole="" fillcolor="window">
                        <v:imagedata r:id="rId113" o:title=""/>
                      </v:shape>
                      <o:OLEObject Type="Embed" ProgID="Equation.3" ShapeID="_x0000_i1109" DrawAspect="Content" ObjectID="_1742211840" r:id="rId137"/>
                    </w:object>
                  </w:r>
                </w:p>
                <w:p w:rsidR="00000000" w:rsidRDefault="00657A20">
                  <w:pPr>
                    <w:rPr>
                      <w:sz w:val="24"/>
                    </w:rPr>
                  </w:pPr>
                  <w:r>
                    <w:rPr>
                      <w:sz w:val="24"/>
                    </w:rPr>
                    <w:t>%</w:t>
                  </w:r>
                  <w:r>
                    <w:rPr>
                      <w:position w:val="-4"/>
                      <w:sz w:val="24"/>
                    </w:rPr>
                    <w:object w:dxaOrig="260" w:dyaOrig="320">
                      <v:shape id="_x0000_i1110" type="#_x0000_t75" style="width:12.75pt;height:15.75pt" o:ole="" fillcolor="window">
                        <v:imagedata r:id="rId25" o:title=""/>
                      </v:shape>
                      <o:OLEObject Type="Embed" ProgID="Equation.3" ShapeID="_x0000_i1110" DrawAspect="Content" ObjectID="_1742211841" r:id="rId138"/>
                    </w:object>
                  </w:r>
                  <w:r>
                    <w:rPr>
                      <w:sz w:val="24"/>
                    </w:rPr>
                    <w:t xml:space="preserve">= 32.6/20 =4.7% </w:t>
                  </w:r>
                  <w:r>
                    <w:rPr>
                      <w:position w:val="-10"/>
                    </w:rPr>
                    <w:object w:dxaOrig="1760" w:dyaOrig="380">
                      <v:shape id="_x0000_i1111" type="#_x0000_t75" style="width:87.75pt;height:18.75pt" o:ole="" fillcolor="window">
                        <v:imagedata r:id="rId35" o:title=""/>
                      </v:shape>
                      <o:OLEObject Type="Embed" ProgID="Equation.3" ShapeID="_x0000_i1111" DrawAspect="Content" ObjectID="_1742211842" r:id="rId139"/>
                    </w:object>
                  </w:r>
                  <w:r>
                    <w:rPr>
                      <w:position w:val="-4"/>
                      <w:sz w:val="24"/>
                    </w:rPr>
                    <w:t>=100+4.7=104.7%</w:t>
                  </w:r>
                </w:p>
                <w:p w:rsidR="00000000" w:rsidRDefault="00657A20">
                  <w:pPr>
                    <w:rPr>
                      <w:b/>
                      <w:bCs/>
                      <w:sz w:val="24"/>
                    </w:rPr>
                  </w:pPr>
                  <w:r>
                    <w:rPr>
                      <w:position w:val="-68"/>
                    </w:rPr>
                    <w:object w:dxaOrig="3560" w:dyaOrig="1520">
                      <v:shape id="_x0000_i1112" type="#_x0000_t75" style="width:180pt;height:75.75pt" o:ole="" fillcolor="window">
                        <v:imagedata r:id="rId140" o:title=""/>
                      </v:shape>
                      <o:OLEObject Type="Embed" ProgID="Equation.3" ShapeID="_x0000_i1112" DrawAspect="Content" ObjectID="_1742211843" r:id="rId141"/>
                    </w:object>
                  </w:r>
                  <w:r>
                    <w:rPr>
                      <w:position w:val="-68"/>
                    </w:rPr>
                    <w:object w:dxaOrig="3300" w:dyaOrig="1480">
                      <v:shape id="_x0000_i1113" type="#_x0000_t75" style="width:171.75pt;height:74.25pt" o:ole="" fillcolor="window">
                        <v:imagedata r:id="rId142" o:title=""/>
                      </v:shape>
                      <o:OLEObject Type="Embed" ProgID="Equation.3" ShapeID="_x0000_i1113" DrawAspect="Content" ObjectID="_1742211844" r:id="rId143"/>
                    </w:object>
                  </w:r>
                  <w:r>
                    <w:rPr>
                      <w:position w:val="-68"/>
                    </w:rPr>
                    <w:object w:dxaOrig="3640" w:dyaOrig="1520">
                      <v:shape id="_x0000_i1114" type="#_x0000_t75" style="width:184.5pt;height:80.25pt" o:ole="">
                        <v:imagedata r:id="rId144" o:title=""/>
                      </v:shape>
                      <o:OLEObject Type="Embed" ProgID="Equation.3" ShapeID="_x0000_i1114" DrawAspect="Content" ObjectID="_1742211845" r:id="rId145"/>
                    </w:object>
                  </w:r>
                </w:p>
              </w:txbxContent>
            </v:textbox>
          </v:shape>
        </w:pict>
      </w:r>
      <w:r>
        <w:rPr>
          <w:b w:val="0"/>
          <w:bCs/>
          <w:noProof/>
        </w:rPr>
        <w:pict>
          <v:shape id="_x0000_s1037" type="#_x0000_t202" style="position:absolute;margin-left:76.05pt;margin-top:-.2pt;width:207pt;height:339.4pt;z-index:251659776" stroked="f" strokeweight="3pt">
            <v:textbox style="mso-next-textbox:#_x0000_s1037">
              <w:txbxContent>
                <w:p w:rsidR="00000000" w:rsidRDefault="00657A20">
                  <w:pPr>
                    <w:pStyle w:val="Heading6"/>
                  </w:pPr>
                  <w:r>
                    <w:t>LCS</w:t>
                  </w:r>
                </w:p>
                <w:p w:rsidR="00000000" w:rsidRDefault="00657A20">
                  <w:pPr>
                    <w:rPr>
                      <w:sz w:val="24"/>
                    </w:rPr>
                  </w:pPr>
                  <w:r>
                    <w:rPr>
                      <w:position w:val="-30"/>
                    </w:rPr>
                    <w:object w:dxaOrig="3280" w:dyaOrig="720">
                      <v:shape id="_x0000_i1115" type="#_x0000_t75" style="width:163.5pt;height:36pt" o:ole="" fillcolor="window">
                        <v:imagedata r:id="rId113" o:title=""/>
                      </v:shape>
                      <o:OLEObject Type="Embed" ProgID="Equation.3" ShapeID="_x0000_i1115" DrawAspect="Content" ObjectID="_1742211834" r:id="rId146"/>
                    </w:object>
                  </w:r>
                </w:p>
                <w:p w:rsidR="00000000" w:rsidRDefault="00657A20">
                  <w:pPr>
                    <w:rPr>
                      <w:sz w:val="24"/>
                    </w:rPr>
                  </w:pPr>
                  <w:r>
                    <w:rPr>
                      <w:sz w:val="24"/>
                    </w:rPr>
                    <w:t>%</w:t>
                  </w:r>
                  <w:r>
                    <w:rPr>
                      <w:position w:val="-4"/>
                      <w:sz w:val="24"/>
                    </w:rPr>
                    <w:object w:dxaOrig="260" w:dyaOrig="320">
                      <v:shape id="_x0000_i1116" type="#_x0000_t75" style="width:12.75pt;height:15.75pt" o:ole="" fillcolor="window">
                        <v:imagedata r:id="rId25" o:title=""/>
                      </v:shape>
                      <o:OLEObject Type="Embed" ProgID="Equation.3" ShapeID="_x0000_i1116" DrawAspect="Content" ObjectID="_1742211835" r:id="rId147"/>
                    </w:object>
                  </w:r>
                  <w:r>
                    <w:rPr>
                      <w:sz w:val="24"/>
                    </w:rPr>
                    <w:t xml:space="preserve">=12.7/20=5.4% </w:t>
                  </w:r>
                </w:p>
                <w:p w:rsidR="00000000" w:rsidRDefault="00657A20">
                  <w:pPr>
                    <w:rPr>
                      <w:sz w:val="24"/>
                    </w:rPr>
                  </w:pPr>
                  <w:r>
                    <w:rPr>
                      <w:position w:val="-10"/>
                    </w:rPr>
                    <w:object w:dxaOrig="1760" w:dyaOrig="380">
                      <v:shape id="_x0000_i1117" type="#_x0000_t75" style="width:87.75pt;height:18.75pt" o:ole="" fillcolor="window">
                        <v:imagedata r:id="rId35" o:title=""/>
                      </v:shape>
                      <o:OLEObject Type="Embed" ProgID="Equation.3" ShapeID="_x0000_i1117" DrawAspect="Content" ObjectID="_1742211836" r:id="rId148"/>
                    </w:object>
                  </w:r>
                  <w:r>
                    <w:rPr>
                      <w:position w:val="-4"/>
                      <w:sz w:val="24"/>
                    </w:rPr>
                    <w:t>=100+5.4=105.4%</w:t>
                  </w:r>
                </w:p>
                <w:p w:rsidR="00000000" w:rsidRDefault="00657A20">
                  <w:pPr>
                    <w:rPr>
                      <w:position w:val="-30"/>
                    </w:rPr>
                  </w:pPr>
                  <w:r>
                    <w:rPr>
                      <w:position w:val="-68"/>
                    </w:rPr>
                    <w:object w:dxaOrig="3400" w:dyaOrig="1520">
                      <v:shape id="_x0000_i1118" type="#_x0000_t75" style="width:182.25pt;height:75.75pt" o:ole="" fillcolor="window">
                        <v:imagedata r:id="rId149" o:title=""/>
                      </v:shape>
                      <o:OLEObject Type="Embed" ProgID="Equation.3" ShapeID="_x0000_i1118" DrawAspect="Content" ObjectID="_1742211837" r:id="rId150"/>
                    </w:object>
                  </w:r>
                  <w:r>
                    <w:rPr>
                      <w:position w:val="-68"/>
                    </w:rPr>
                    <w:object w:dxaOrig="3140" w:dyaOrig="1480">
                      <v:shape id="_x0000_i1119" type="#_x0000_t75" style="width:174pt;height:74.25pt" o:ole="" fillcolor="window">
                        <v:imagedata r:id="rId151" o:title=""/>
                      </v:shape>
                      <o:OLEObject Type="Embed" ProgID="Equation.3" ShapeID="_x0000_i1119" DrawAspect="Content" ObjectID="_1742211838" r:id="rId152"/>
                    </w:object>
                  </w:r>
                </w:p>
                <w:p w:rsidR="00000000" w:rsidRDefault="00657A20">
                  <w:r>
                    <w:rPr>
                      <w:position w:val="-68"/>
                      <w:sz w:val="24"/>
                    </w:rPr>
                    <w:object w:dxaOrig="3540" w:dyaOrig="1520">
                      <v:shape id="_x0000_i1120" type="#_x0000_t75" style="width:186pt;height:80.25pt" o:ole="">
                        <v:imagedata r:id="rId153" o:title=""/>
                      </v:shape>
                      <o:OLEObject Type="Embed" ProgID="Equation.3" ShapeID="_x0000_i1120" DrawAspect="Content" ObjectID="_1742211839" r:id="rId154"/>
                    </w:object>
                  </w:r>
                </w:p>
              </w:txbxContent>
            </v:textbox>
          </v:shape>
        </w:pict>
      </w:r>
    </w:p>
    <w:p w:rsidR="00000000" w:rsidRDefault="00657A20">
      <w:pPr>
        <w:pStyle w:val="Heading2"/>
        <w:widowControl/>
        <w:tabs>
          <w:tab w:val="clear" w:pos="3616"/>
        </w:tabs>
        <w:autoSpaceDE/>
        <w:autoSpaceDN/>
        <w:adjustRightInd/>
        <w:rPr>
          <w:bCs/>
        </w:rPr>
      </w:pPr>
    </w:p>
    <w:p w:rsidR="00000000" w:rsidRDefault="00657A20">
      <w:pPr>
        <w:pStyle w:val="Heading2"/>
        <w:widowControl/>
        <w:tabs>
          <w:tab w:val="clear" w:pos="3616"/>
        </w:tabs>
        <w:autoSpaceDE/>
        <w:autoSpaceDN/>
        <w:adjustRightInd/>
        <w:rPr>
          <w:bCs/>
          <w:u w:val="single"/>
        </w:rPr>
      </w:pPr>
      <w:r>
        <w:rPr>
          <w:bCs/>
          <w:u w:val="single"/>
        </w:rPr>
        <w:t>Equation A.6</w:t>
      </w:r>
    </w:p>
    <w:p w:rsidR="00000000" w:rsidRDefault="00657A20">
      <w:pPr>
        <w:pStyle w:val="Heading2"/>
        <w:widowControl/>
        <w:tabs>
          <w:tab w:val="clear" w:pos="3616"/>
        </w:tabs>
        <w:autoSpaceDE/>
        <w:autoSpaceDN/>
        <w:adjustRightInd/>
        <w:rPr>
          <w:bCs/>
        </w:rPr>
      </w:pPr>
    </w:p>
    <w:p w:rsidR="00000000" w:rsidRDefault="00657A20">
      <w:pPr>
        <w:pStyle w:val="Heading2"/>
        <w:widowControl/>
        <w:tabs>
          <w:tab w:val="clear" w:pos="3616"/>
        </w:tabs>
        <w:autoSpaceDE/>
        <w:autoSpaceDN/>
        <w:adjustRightInd/>
        <w:rPr>
          <w:bCs/>
          <w:u w:val="single"/>
        </w:rPr>
      </w:pPr>
    </w:p>
    <w:p w:rsidR="00000000" w:rsidRDefault="00657A20">
      <w:pPr>
        <w:pStyle w:val="Heading2"/>
        <w:widowControl/>
        <w:tabs>
          <w:tab w:val="clear" w:pos="3616"/>
        </w:tabs>
        <w:autoSpaceDE/>
        <w:autoSpaceDN/>
        <w:adjustRightInd/>
        <w:rPr>
          <w:bCs/>
          <w:u w:val="single"/>
        </w:rPr>
      </w:pPr>
      <w:r>
        <w:rPr>
          <w:bCs/>
          <w:u w:val="single"/>
        </w:rPr>
        <w:t>Equation A.7</w:t>
      </w:r>
    </w:p>
    <w:p w:rsidR="00000000" w:rsidRDefault="00657A20">
      <w:pPr>
        <w:pStyle w:val="Heading2"/>
        <w:widowControl/>
        <w:tabs>
          <w:tab w:val="clear" w:pos="3616"/>
        </w:tabs>
        <w:autoSpaceDE/>
        <w:autoSpaceDN/>
        <w:adjustRightInd/>
        <w:rPr>
          <w:bCs/>
        </w:rPr>
      </w:pPr>
    </w:p>
    <w:p w:rsidR="00000000" w:rsidRDefault="00657A20">
      <w:pPr>
        <w:pStyle w:val="Heading2"/>
        <w:widowControl/>
        <w:tabs>
          <w:tab w:val="clear" w:pos="3616"/>
        </w:tabs>
        <w:autoSpaceDE/>
        <w:autoSpaceDN/>
        <w:adjustRightInd/>
        <w:rPr>
          <w:bCs/>
        </w:rPr>
      </w:pPr>
    </w:p>
    <w:p w:rsidR="00000000" w:rsidRDefault="00657A20">
      <w:pPr>
        <w:pStyle w:val="Heading2"/>
        <w:widowControl/>
        <w:tabs>
          <w:tab w:val="clear" w:pos="3616"/>
        </w:tabs>
        <w:autoSpaceDE/>
        <w:autoSpaceDN/>
        <w:adjustRightInd/>
        <w:rPr>
          <w:bCs/>
        </w:rPr>
      </w:pPr>
    </w:p>
    <w:p w:rsidR="00000000" w:rsidRDefault="00657A20">
      <w:pPr>
        <w:pStyle w:val="Heading2"/>
        <w:widowControl/>
        <w:tabs>
          <w:tab w:val="clear" w:pos="3616"/>
        </w:tabs>
        <w:autoSpaceDE/>
        <w:autoSpaceDN/>
        <w:adjustRightInd/>
        <w:rPr>
          <w:bCs/>
          <w:u w:val="single"/>
        </w:rPr>
      </w:pPr>
      <w:r>
        <w:rPr>
          <w:bCs/>
          <w:u w:val="single"/>
        </w:rPr>
        <w:t>Equation A.8</w:t>
      </w:r>
    </w:p>
    <w:p w:rsidR="00000000" w:rsidRDefault="00657A20">
      <w:pPr>
        <w:pStyle w:val="Heading2"/>
        <w:widowControl/>
        <w:tabs>
          <w:tab w:val="clear" w:pos="3616"/>
        </w:tabs>
        <w:autoSpaceDE/>
        <w:autoSpaceDN/>
        <w:adjustRightInd/>
        <w:rPr>
          <w:bCs/>
        </w:rPr>
      </w:pPr>
    </w:p>
    <w:p w:rsidR="00000000" w:rsidRDefault="00657A20">
      <w:pPr>
        <w:pStyle w:val="Heading2"/>
        <w:widowControl/>
        <w:tabs>
          <w:tab w:val="clear" w:pos="3616"/>
        </w:tabs>
        <w:autoSpaceDE/>
        <w:autoSpaceDN/>
        <w:adjustRightInd/>
        <w:rPr>
          <w:bCs/>
        </w:rPr>
      </w:pPr>
    </w:p>
    <w:p w:rsidR="00000000" w:rsidRDefault="00657A20">
      <w:pPr>
        <w:pStyle w:val="Heading2"/>
        <w:widowControl/>
        <w:tabs>
          <w:tab w:val="clear" w:pos="3616"/>
        </w:tabs>
        <w:autoSpaceDE/>
        <w:autoSpaceDN/>
        <w:adjustRightInd/>
        <w:rPr>
          <w:bCs/>
        </w:rPr>
      </w:pPr>
    </w:p>
    <w:p w:rsidR="00000000" w:rsidRDefault="00657A20">
      <w:pPr>
        <w:pStyle w:val="Heading2"/>
        <w:widowControl/>
        <w:tabs>
          <w:tab w:val="clear" w:pos="3616"/>
        </w:tabs>
        <w:autoSpaceDE/>
        <w:autoSpaceDN/>
        <w:adjustRightInd/>
        <w:rPr>
          <w:bCs/>
        </w:rPr>
      </w:pPr>
    </w:p>
    <w:p w:rsidR="00000000" w:rsidRDefault="00657A20">
      <w:pPr>
        <w:pStyle w:val="Heading2"/>
        <w:widowControl/>
        <w:tabs>
          <w:tab w:val="clear" w:pos="3616"/>
        </w:tabs>
        <w:autoSpaceDE/>
        <w:autoSpaceDN/>
        <w:adjustRightInd/>
        <w:rPr>
          <w:bCs/>
        </w:rPr>
      </w:pPr>
      <w:r>
        <w:rPr>
          <w:bCs/>
        </w:rPr>
        <w:br w:type="page"/>
      </w:r>
    </w:p>
    <w:p w:rsidR="00000000" w:rsidRDefault="00657A20">
      <w:pPr>
        <w:spacing w:line="360" w:lineRule="auto"/>
        <w:ind w:left="1440" w:hanging="720"/>
        <w:jc w:val="center"/>
        <w:rPr>
          <w:iCs/>
          <w:sz w:val="24"/>
        </w:rPr>
      </w:pPr>
      <w:r>
        <w:rPr>
          <w:iCs/>
          <w:sz w:val="32"/>
          <w:vertAlign w:val="superscript"/>
        </w:rPr>
        <w:t>ICS</w:t>
      </w:r>
      <w:r>
        <w:rPr>
          <w:iCs/>
          <w:sz w:val="32"/>
        </w:rPr>
        <w:t>u</w:t>
      </w:r>
      <w:r>
        <w:rPr>
          <w:iCs/>
          <w:sz w:val="32"/>
          <w:vertAlign w:val="subscript"/>
        </w:rPr>
        <w:t>r</w:t>
      </w:r>
      <w:r>
        <w:rPr>
          <w:iCs/>
          <w:sz w:val="32"/>
        </w:rPr>
        <w:t xml:space="preserve"> = </w:t>
      </w:r>
      <w:r>
        <w:rPr>
          <w:iCs/>
          <w:sz w:val="32"/>
          <w:vertAlign w:val="superscript"/>
        </w:rPr>
        <w:t>IME</w:t>
      </w:r>
      <w:r>
        <w:rPr>
          <w:iCs/>
          <w:sz w:val="32"/>
        </w:rPr>
        <w:t>u</w:t>
      </w:r>
      <w:r>
        <w:rPr>
          <w:iCs/>
          <w:sz w:val="32"/>
          <w:vertAlign w:val="subscript"/>
        </w:rPr>
        <w:t>r</w:t>
      </w:r>
      <w:r>
        <w:rPr>
          <w:iCs/>
          <w:sz w:val="32"/>
        </w:rPr>
        <w:t>=</w:t>
      </w:r>
      <w:r>
        <w:rPr>
          <w:iCs/>
          <w:sz w:val="24"/>
        </w:rPr>
        <w:t>0.84%</w:t>
      </w:r>
    </w:p>
    <w:p w:rsidR="00000000" w:rsidRDefault="00657A20">
      <w:pPr>
        <w:pStyle w:val="Heading2"/>
        <w:spacing w:line="360" w:lineRule="auto"/>
        <w:rPr>
          <w:bCs/>
          <w:u w:val="single"/>
        </w:rPr>
      </w:pPr>
      <w:r>
        <w:rPr>
          <w:bCs/>
          <w:u w:val="single"/>
        </w:rPr>
        <w:t>Equation A.9</w:t>
      </w:r>
    </w:p>
    <w:p w:rsidR="00000000" w:rsidRDefault="00657A20">
      <w:pPr>
        <w:pStyle w:val="Heading7"/>
        <w:rPr>
          <w:iCs/>
        </w:rPr>
      </w:pPr>
      <w:r>
        <w:rPr>
          <w:b/>
          <w:bCs/>
        </w:rPr>
        <w:t>If</w:t>
      </w:r>
      <w:r>
        <w:t xml:space="preserve"> </w:t>
      </w:r>
      <w:r>
        <w:rPr>
          <w:i/>
          <w:sz w:val="32"/>
          <w:vertAlign w:val="superscript"/>
        </w:rPr>
        <w:t>ICS</w:t>
      </w:r>
      <w:r>
        <w:rPr>
          <w:i/>
          <w:sz w:val="32"/>
        </w:rPr>
        <w:t>u</w:t>
      </w:r>
      <w:r>
        <w:rPr>
          <w:i/>
          <w:sz w:val="32"/>
          <w:vertAlign w:val="subscript"/>
        </w:rPr>
        <w:t xml:space="preserve">r </w:t>
      </w:r>
      <w:r>
        <w:rPr>
          <w:i/>
          <w:sz w:val="32"/>
          <w:u w:val="single"/>
        </w:rPr>
        <w:t>&gt;</w:t>
      </w:r>
      <w:r>
        <w:rPr>
          <w:i/>
          <w:sz w:val="32"/>
          <w:vertAlign w:val="superscript"/>
        </w:rPr>
        <w:t xml:space="preserve"> ICV</w:t>
      </w:r>
      <w:r>
        <w:rPr>
          <w:i/>
          <w:sz w:val="32"/>
        </w:rPr>
        <w:t>u</w:t>
      </w:r>
      <w:r>
        <w:rPr>
          <w:i/>
          <w:sz w:val="32"/>
          <w:vertAlign w:val="subscript"/>
        </w:rPr>
        <w:t>r</w:t>
      </w:r>
      <w:r>
        <w:rPr>
          <w:iCs/>
        </w:rPr>
        <w:t xml:space="preserve">, </w:t>
      </w:r>
      <w:r>
        <w:rPr>
          <w:b/>
          <w:bCs/>
          <w:iCs/>
        </w:rPr>
        <w:t>then</w:t>
      </w:r>
      <w:r>
        <w:rPr>
          <w:iCs/>
        </w:rPr>
        <w:t xml:space="preserve"> </w:t>
      </w:r>
      <w:r>
        <w:rPr>
          <w:i/>
          <w:sz w:val="32"/>
          <w:vertAlign w:val="superscript"/>
        </w:rPr>
        <w:t>SPE</w:t>
      </w:r>
      <w:r>
        <w:rPr>
          <w:i/>
          <w:sz w:val="32"/>
        </w:rPr>
        <w:t>u</w:t>
      </w:r>
      <w:r>
        <w:rPr>
          <w:i/>
          <w:sz w:val="32"/>
          <w:vertAlign w:val="subscript"/>
        </w:rPr>
        <w:t>r</w:t>
      </w:r>
      <w:r>
        <w:rPr>
          <w:iCs/>
        </w:rPr>
        <w:t xml:space="preserve"> is estimated as zero, </w:t>
      </w:r>
      <w:r>
        <w:rPr>
          <w:b/>
          <w:bCs/>
          <w:iCs/>
        </w:rPr>
        <w:t>else</w:t>
      </w:r>
      <w:r>
        <w:rPr>
          <w:iCs/>
        </w:rPr>
        <w:t>:</w:t>
      </w:r>
    </w:p>
    <w:p w:rsidR="00000000" w:rsidRDefault="00657A20">
      <w:pPr>
        <w:pStyle w:val="Heading7"/>
      </w:pPr>
      <w:r>
        <w:rPr>
          <w:i/>
          <w:sz w:val="32"/>
        </w:rPr>
        <w:t xml:space="preserve"> </w:t>
      </w:r>
    </w:p>
    <w:p w:rsidR="00000000" w:rsidRDefault="00657A20">
      <w:pPr>
        <w:pStyle w:val="BodyText"/>
        <w:spacing w:line="360" w:lineRule="auto"/>
        <w:jc w:val="center"/>
        <w:rPr>
          <w:position w:val="-16"/>
        </w:rPr>
      </w:pPr>
      <w:r>
        <w:rPr>
          <w:position w:val="-16"/>
        </w:rPr>
        <w:object w:dxaOrig="6060" w:dyaOrig="480">
          <v:shape id="_x0000_i1082" type="#_x0000_t75" style="width:303pt;height:24pt" o:ole="" fillcolor="window">
            <v:imagedata r:id="rId155" o:title=""/>
          </v:shape>
          <o:OLEObject Type="Embed" ProgID="Equation.3" ShapeID="_x0000_i1082" DrawAspect="Content" ObjectID="_1742211816" r:id="rId156"/>
        </w:object>
      </w:r>
    </w:p>
    <w:p w:rsidR="00000000" w:rsidRDefault="00657A20">
      <w:pPr>
        <w:pStyle w:val="BodyText"/>
        <w:spacing w:line="360" w:lineRule="auto"/>
        <w:rPr>
          <w:b/>
          <w:u w:val="single"/>
        </w:rPr>
      </w:pPr>
      <w:r>
        <w:rPr>
          <w:b/>
          <w:u w:val="single"/>
        </w:rPr>
        <w:t>Equation A.10</w:t>
      </w:r>
    </w:p>
    <w:p w:rsidR="00000000" w:rsidRDefault="00657A20">
      <w:pPr>
        <w:pStyle w:val="Heading7"/>
        <w:rPr>
          <w:iCs/>
        </w:rPr>
      </w:pPr>
      <w:r>
        <w:rPr>
          <w:b/>
          <w:bCs/>
        </w:rPr>
        <w:t>If</w:t>
      </w:r>
      <w:r>
        <w:t xml:space="preserve"> </w:t>
      </w:r>
      <w:r>
        <w:rPr>
          <w:i/>
          <w:sz w:val="32"/>
          <w:vertAlign w:val="superscript"/>
        </w:rPr>
        <w:t>ICV</w:t>
      </w:r>
      <w:r>
        <w:rPr>
          <w:i/>
          <w:sz w:val="32"/>
        </w:rPr>
        <w:t>u</w:t>
      </w:r>
      <w:r>
        <w:rPr>
          <w:i/>
          <w:sz w:val="32"/>
          <w:vertAlign w:val="subscript"/>
        </w:rPr>
        <w:t xml:space="preserve">r </w:t>
      </w:r>
      <w:r>
        <w:rPr>
          <w:i/>
          <w:sz w:val="32"/>
          <w:u w:val="single"/>
        </w:rPr>
        <w:t>&gt;</w:t>
      </w:r>
      <w:r>
        <w:rPr>
          <w:i/>
          <w:sz w:val="32"/>
          <w:vertAlign w:val="superscript"/>
        </w:rPr>
        <w:t xml:space="preserve"> LCS</w:t>
      </w:r>
      <w:r>
        <w:rPr>
          <w:i/>
          <w:sz w:val="32"/>
        </w:rPr>
        <w:t>u</w:t>
      </w:r>
      <w:r>
        <w:rPr>
          <w:i/>
          <w:sz w:val="32"/>
          <w:vertAlign w:val="subscript"/>
        </w:rPr>
        <w:t>r</w:t>
      </w:r>
      <w:r>
        <w:rPr>
          <w:iCs/>
        </w:rPr>
        <w:t xml:space="preserve">, </w:t>
      </w:r>
      <w:r>
        <w:rPr>
          <w:b/>
          <w:bCs/>
          <w:iCs/>
        </w:rPr>
        <w:t>then</w:t>
      </w:r>
      <w:r>
        <w:rPr>
          <w:iCs/>
        </w:rPr>
        <w:t xml:space="preserve"> </w:t>
      </w:r>
      <w:r>
        <w:rPr>
          <w:i/>
          <w:sz w:val="32"/>
          <w:vertAlign w:val="superscript"/>
        </w:rPr>
        <w:t>PME</w:t>
      </w:r>
      <w:r>
        <w:rPr>
          <w:i/>
          <w:sz w:val="32"/>
        </w:rPr>
        <w:t>u</w:t>
      </w:r>
      <w:r>
        <w:rPr>
          <w:i/>
          <w:sz w:val="32"/>
          <w:vertAlign w:val="subscript"/>
        </w:rPr>
        <w:t>r</w:t>
      </w:r>
      <w:r>
        <w:rPr>
          <w:iCs/>
        </w:rPr>
        <w:t xml:space="preserve"> is estimated as zero, </w:t>
      </w:r>
      <w:r>
        <w:rPr>
          <w:b/>
          <w:bCs/>
          <w:iCs/>
        </w:rPr>
        <w:t>else</w:t>
      </w:r>
      <w:r>
        <w:rPr>
          <w:iCs/>
        </w:rPr>
        <w:t>:</w:t>
      </w:r>
    </w:p>
    <w:p w:rsidR="00000000" w:rsidRDefault="00657A20">
      <w:pPr>
        <w:pStyle w:val="BodyText"/>
        <w:spacing w:line="360" w:lineRule="auto"/>
        <w:rPr>
          <w:b/>
          <w:u w:val="single"/>
        </w:rPr>
      </w:pPr>
    </w:p>
    <w:p w:rsidR="00000000" w:rsidRDefault="00657A20">
      <w:pPr>
        <w:pStyle w:val="BodyText"/>
        <w:tabs>
          <w:tab w:val="left" w:pos="1440"/>
        </w:tabs>
        <w:spacing w:line="360" w:lineRule="auto"/>
        <w:ind w:left="1440" w:hanging="720"/>
        <w:jc w:val="center"/>
      </w:pPr>
      <w:r>
        <w:rPr>
          <w:position w:val="-16"/>
        </w:rPr>
        <w:object w:dxaOrig="8440" w:dyaOrig="480">
          <v:shape id="_x0000_i1083" type="#_x0000_t75" style="width:421.5pt;height:24pt" o:ole="" fillcolor="window">
            <v:imagedata r:id="rId157" o:title=""/>
          </v:shape>
          <o:OLEObject Type="Embed" ProgID="Equation.3" ShapeID="_x0000_i1083" DrawAspect="Content" ObjectID="_1742211817" r:id="rId158"/>
        </w:object>
      </w:r>
    </w:p>
    <w:p w:rsidR="00000000" w:rsidRDefault="00657A20">
      <w:pPr>
        <w:pStyle w:val="Heading2"/>
        <w:spacing w:line="360" w:lineRule="auto"/>
        <w:rPr>
          <w:bCs/>
          <w:u w:val="single"/>
        </w:rPr>
      </w:pPr>
      <w:r>
        <w:rPr>
          <w:bCs/>
          <w:u w:val="single"/>
        </w:rPr>
        <w:t>Equation A.11</w:t>
      </w:r>
    </w:p>
    <w:p w:rsidR="00000000" w:rsidRDefault="00657A20">
      <w:pPr>
        <w:pStyle w:val="Heading7"/>
        <w:rPr>
          <w:iCs/>
        </w:rPr>
      </w:pPr>
      <w:r>
        <w:rPr>
          <w:b/>
          <w:bCs/>
        </w:rPr>
        <w:t>If</w:t>
      </w:r>
      <w:r>
        <w:t xml:space="preserve"> </w:t>
      </w:r>
      <w:r>
        <w:rPr>
          <w:i/>
          <w:sz w:val="32"/>
          <w:vertAlign w:val="superscript"/>
        </w:rPr>
        <w:t>LCS</w:t>
      </w:r>
      <w:r>
        <w:rPr>
          <w:i/>
          <w:sz w:val="32"/>
        </w:rPr>
        <w:t>u</w:t>
      </w:r>
      <w:r>
        <w:rPr>
          <w:i/>
          <w:sz w:val="32"/>
          <w:vertAlign w:val="subscript"/>
        </w:rPr>
        <w:t xml:space="preserve">r </w:t>
      </w:r>
      <w:r>
        <w:rPr>
          <w:i/>
          <w:sz w:val="32"/>
          <w:u w:val="single"/>
        </w:rPr>
        <w:t>&gt;</w:t>
      </w:r>
      <w:r>
        <w:rPr>
          <w:i/>
          <w:sz w:val="32"/>
          <w:vertAlign w:val="superscript"/>
        </w:rPr>
        <w:t xml:space="preserve"> MIS</w:t>
      </w:r>
      <w:r>
        <w:rPr>
          <w:i/>
          <w:sz w:val="32"/>
        </w:rPr>
        <w:t>u</w:t>
      </w:r>
      <w:r>
        <w:rPr>
          <w:i/>
          <w:sz w:val="32"/>
          <w:vertAlign w:val="subscript"/>
        </w:rPr>
        <w:t>r</w:t>
      </w:r>
      <w:r>
        <w:rPr>
          <w:b/>
          <w:bCs/>
          <w:iCs/>
        </w:rPr>
        <w:t>, then</w:t>
      </w:r>
      <w:r>
        <w:rPr>
          <w:iCs/>
        </w:rPr>
        <w:t xml:space="preserve"> </w:t>
      </w:r>
      <w:r>
        <w:rPr>
          <w:i/>
          <w:sz w:val="32"/>
          <w:vertAlign w:val="superscript"/>
        </w:rPr>
        <w:t>MIE</w:t>
      </w:r>
      <w:r>
        <w:rPr>
          <w:i/>
          <w:sz w:val="32"/>
        </w:rPr>
        <w:t>u</w:t>
      </w:r>
      <w:r>
        <w:rPr>
          <w:i/>
          <w:sz w:val="32"/>
          <w:vertAlign w:val="subscript"/>
        </w:rPr>
        <w:t>r</w:t>
      </w:r>
      <w:r>
        <w:rPr>
          <w:iCs/>
        </w:rPr>
        <w:t xml:space="preserve"> is estimated as zero, </w:t>
      </w:r>
      <w:r>
        <w:rPr>
          <w:b/>
          <w:bCs/>
          <w:iCs/>
        </w:rPr>
        <w:t>else</w:t>
      </w:r>
      <w:r>
        <w:rPr>
          <w:iCs/>
        </w:rPr>
        <w:t>:</w:t>
      </w:r>
    </w:p>
    <w:p w:rsidR="00000000" w:rsidRDefault="00657A20">
      <w:pPr>
        <w:pStyle w:val="BodyText"/>
        <w:spacing w:line="360" w:lineRule="auto"/>
        <w:jc w:val="center"/>
      </w:pPr>
      <w:r>
        <w:rPr>
          <w:i/>
          <w:vertAlign w:val="superscript"/>
        </w:rPr>
        <w:tab/>
        <w:t xml:space="preserve">   </w:t>
      </w:r>
      <w:r>
        <w:rPr>
          <w:position w:val="-16"/>
        </w:rPr>
        <w:object w:dxaOrig="10380" w:dyaOrig="480">
          <v:shape id="_x0000_i1084" type="#_x0000_t75" style="width:519.75pt;height:24pt" o:ole="" fillcolor="window">
            <v:imagedata r:id="rId159" o:title=""/>
          </v:shape>
          <o:OLEObject Type="Embed" ProgID="Equation.3" ShapeID="_x0000_i1084" DrawAspect="Content" ObjectID="_1742211818" r:id="rId160"/>
        </w:object>
      </w:r>
    </w:p>
    <w:p w:rsidR="00000000" w:rsidRDefault="00657A20">
      <w:pPr>
        <w:pStyle w:val="Heading1"/>
        <w:spacing w:line="360" w:lineRule="auto"/>
      </w:pPr>
      <w:r>
        <w:t>Equation A.12</w:t>
      </w:r>
    </w:p>
    <w:p w:rsidR="00000000" w:rsidRDefault="00657A20">
      <w:pPr>
        <w:pStyle w:val="BodyText"/>
        <w:spacing w:line="360" w:lineRule="auto"/>
        <w:jc w:val="center"/>
      </w:pPr>
      <w:r>
        <w:rPr>
          <w:position w:val="-6"/>
        </w:rPr>
        <w:object w:dxaOrig="4300" w:dyaOrig="340">
          <v:shape id="_x0000_i1085" type="#_x0000_t75" style="width:215.25pt;height:16.5pt" o:ole="" fillcolor="window">
            <v:imagedata r:id="rId161" o:title=""/>
          </v:shape>
          <o:OLEObject Type="Embed" ProgID="Equation.3" ShapeID="_x0000_i1085" DrawAspect="Content" ObjectID="_1742211819" r:id="rId162"/>
        </w:object>
      </w:r>
    </w:p>
    <w:p w:rsidR="00000000" w:rsidRDefault="00657A20">
      <w:pPr>
        <w:pStyle w:val="BodyText"/>
        <w:spacing w:line="360" w:lineRule="auto"/>
        <w:rPr>
          <w:b/>
          <w:bCs/>
          <w:u w:val="single"/>
        </w:rPr>
      </w:pPr>
      <w:r>
        <w:rPr>
          <w:b/>
          <w:bCs/>
          <w:u w:val="single"/>
        </w:rPr>
        <w:t>Equation A.16</w:t>
      </w:r>
    </w:p>
    <w:p w:rsidR="00000000" w:rsidRDefault="00657A20">
      <w:pPr>
        <w:pStyle w:val="BodyText"/>
        <w:spacing w:line="360" w:lineRule="auto"/>
        <w:jc w:val="center"/>
      </w:pPr>
      <w:r>
        <w:rPr>
          <w:position w:val="-34"/>
        </w:rPr>
        <w:object w:dxaOrig="5080" w:dyaOrig="800">
          <v:shape id="_x0000_i1086" type="#_x0000_t75" style="width:254.25pt;height:39pt" o:ole="" fillcolor="window">
            <v:imagedata r:id="rId163" o:title=""/>
          </v:shape>
          <o:OLEObject Type="Embed" ProgID="Equation.3" ShapeID="_x0000_i1086" DrawAspect="Content" ObjectID="_1742211820" r:id="rId164"/>
        </w:object>
      </w:r>
    </w:p>
    <w:p w:rsidR="00000000" w:rsidRDefault="00657A20">
      <w:pPr>
        <w:pStyle w:val="BodyText"/>
        <w:spacing w:line="360" w:lineRule="auto"/>
        <w:rPr>
          <w:b/>
          <w:bCs/>
          <w:u w:val="single"/>
        </w:rPr>
      </w:pPr>
      <w:r>
        <w:rPr>
          <w:b/>
          <w:bCs/>
          <w:u w:val="single"/>
        </w:rPr>
        <w:t>Equation A.17</w:t>
      </w:r>
    </w:p>
    <w:p w:rsidR="00000000" w:rsidRDefault="00657A20">
      <w:pPr>
        <w:pStyle w:val="BodyText"/>
        <w:spacing w:line="360" w:lineRule="auto"/>
        <w:jc w:val="center"/>
      </w:pPr>
      <w:r>
        <w:rPr>
          <w:position w:val="-32"/>
        </w:rPr>
        <w:object w:dxaOrig="7320" w:dyaOrig="760">
          <v:shape id="_x0000_i1087" type="#_x0000_t75" style="width:366pt;height:37.5pt" o:ole="" fillcolor="window">
            <v:imagedata r:id="rId165" o:title=""/>
          </v:shape>
          <o:OLEObject Type="Embed" ProgID="Equation.3" ShapeID="_x0000_i1087" DrawAspect="Content" ObjectID="_1742211821" r:id="rId166"/>
        </w:object>
      </w:r>
    </w:p>
    <w:p w:rsidR="00000000" w:rsidRDefault="00657A20">
      <w:pPr>
        <w:pStyle w:val="BodyText"/>
        <w:spacing w:line="360" w:lineRule="auto"/>
        <w:rPr>
          <w:b/>
          <w:bCs/>
          <w:u w:val="single"/>
        </w:rPr>
      </w:pPr>
      <w:r>
        <w:rPr>
          <w:b/>
          <w:bCs/>
          <w:u w:val="single"/>
        </w:rPr>
        <w:t>Equation A.18</w:t>
      </w:r>
    </w:p>
    <w:p w:rsidR="00000000" w:rsidRDefault="00657A20">
      <w:pPr>
        <w:pStyle w:val="BodyText"/>
        <w:spacing w:line="360" w:lineRule="auto"/>
        <w:jc w:val="center"/>
      </w:pPr>
      <w:r>
        <w:rPr>
          <w:position w:val="-32"/>
        </w:rPr>
        <w:object w:dxaOrig="9620" w:dyaOrig="760">
          <v:shape id="_x0000_i1088" type="#_x0000_t75" style="width:480.75pt;height:37.5pt" o:ole="" fillcolor="window">
            <v:imagedata r:id="rId167" o:title=""/>
          </v:shape>
          <o:OLEObject Type="Embed" ProgID="Equation.3" ShapeID="_x0000_i1088" DrawAspect="Content" ObjectID="_1742211822" r:id="rId168"/>
        </w:object>
      </w:r>
    </w:p>
    <w:p w:rsidR="00000000" w:rsidRDefault="00657A20">
      <w:pPr>
        <w:pStyle w:val="BodyText"/>
        <w:spacing w:line="360" w:lineRule="auto"/>
        <w:rPr>
          <w:u w:val="single"/>
        </w:rPr>
      </w:pPr>
      <w:r>
        <w:rPr>
          <w:b/>
          <w:bCs/>
          <w:u w:val="single"/>
        </w:rPr>
        <w:t>Equation A.19</w:t>
      </w:r>
    </w:p>
    <w:p w:rsidR="00000000" w:rsidRDefault="00657A20">
      <w:pPr>
        <w:pStyle w:val="BodyText"/>
        <w:spacing w:line="360" w:lineRule="auto"/>
        <w:ind w:left="1440" w:hanging="720"/>
        <w:jc w:val="center"/>
      </w:pPr>
      <w:r>
        <w:rPr>
          <w:position w:val="-10"/>
        </w:rPr>
        <w:object w:dxaOrig="2360" w:dyaOrig="380">
          <v:shape id="_x0000_i1089" type="#_x0000_t75" style="width:117.75pt;height:18.75pt" o:ole="" fillcolor="window">
            <v:imagedata r:id="rId81" o:title=""/>
          </v:shape>
          <o:OLEObject Type="Embed" ProgID="Equation.3" ShapeID="_x0000_i1089" DrawAspect="Content" ObjectID="_1742211823" r:id="rId169"/>
        </w:object>
      </w:r>
      <w:r>
        <w:rPr>
          <w:position w:val="-4"/>
        </w:rPr>
        <w:t>=(101.5-100)=1.5%</w:t>
      </w:r>
    </w:p>
    <w:p w:rsidR="00000000" w:rsidRDefault="00657A20">
      <w:pPr>
        <w:pStyle w:val="BodyText"/>
        <w:spacing w:line="360" w:lineRule="auto"/>
        <w:rPr>
          <w:u w:val="single"/>
        </w:rPr>
      </w:pPr>
      <w:r>
        <w:rPr>
          <w:b/>
          <w:bCs/>
          <w:u w:val="single"/>
        </w:rPr>
        <w:t>Equation A.20</w:t>
      </w:r>
    </w:p>
    <w:p w:rsidR="00000000" w:rsidRDefault="00657A20">
      <w:pPr>
        <w:pStyle w:val="BodyText"/>
        <w:spacing w:line="360" w:lineRule="auto"/>
        <w:ind w:left="1440" w:hanging="720"/>
        <w:jc w:val="center"/>
      </w:pPr>
      <w:r>
        <w:rPr>
          <w:position w:val="-10"/>
        </w:rPr>
        <w:object w:dxaOrig="4540" w:dyaOrig="380">
          <v:shape id="_x0000_i1090" type="#_x0000_t75" style="width:227.25pt;height:18.75pt" o:ole="" fillcolor="window">
            <v:imagedata r:id="rId170" o:title=""/>
          </v:shape>
          <o:OLEObject Type="Embed" ProgID="Equation.3" ShapeID="_x0000_i1090" DrawAspect="Content" ObjectID="_1742211824" r:id="rId171"/>
        </w:object>
      </w:r>
    </w:p>
    <w:p w:rsidR="00000000" w:rsidRDefault="00657A20">
      <w:pPr>
        <w:pStyle w:val="BodyText"/>
        <w:spacing w:line="360" w:lineRule="auto"/>
        <w:rPr>
          <w:u w:val="single"/>
        </w:rPr>
      </w:pPr>
      <w:r>
        <w:rPr>
          <w:b/>
          <w:bCs/>
          <w:u w:val="single"/>
        </w:rPr>
        <w:t>Equation A.21</w:t>
      </w:r>
    </w:p>
    <w:p w:rsidR="00000000" w:rsidRDefault="00657A20">
      <w:pPr>
        <w:pStyle w:val="BodyText"/>
        <w:spacing w:line="360" w:lineRule="auto"/>
        <w:ind w:left="1440" w:hanging="720"/>
        <w:jc w:val="center"/>
      </w:pPr>
      <w:r>
        <w:rPr>
          <w:position w:val="-10"/>
        </w:rPr>
        <w:object w:dxaOrig="4500" w:dyaOrig="380">
          <v:shape id="_x0000_i1091" type="#_x0000_t75" style="width:225pt;height:18.75pt" o:ole="" fillcolor="window">
            <v:imagedata r:id="rId172" o:title=""/>
          </v:shape>
          <o:OLEObject Type="Embed" ProgID="Equation.3" ShapeID="_x0000_i1091" DrawAspect="Content" ObjectID="_1742211825" r:id="rId173"/>
        </w:object>
      </w:r>
    </w:p>
    <w:p w:rsidR="00000000" w:rsidRDefault="00657A20">
      <w:pPr>
        <w:pStyle w:val="BodyText"/>
        <w:spacing w:line="360" w:lineRule="auto"/>
        <w:rPr>
          <w:b/>
          <w:bCs/>
          <w:u w:val="single"/>
        </w:rPr>
      </w:pPr>
      <w:r>
        <w:rPr>
          <w:b/>
          <w:bCs/>
          <w:u w:val="single"/>
        </w:rPr>
        <w:t>Equation A.22</w:t>
      </w:r>
    </w:p>
    <w:p w:rsidR="00000000" w:rsidRDefault="00657A20">
      <w:pPr>
        <w:pStyle w:val="BodyText"/>
        <w:spacing w:line="360" w:lineRule="auto"/>
        <w:jc w:val="center"/>
        <w:rPr>
          <w:b/>
          <w:bCs/>
          <w:u w:val="single"/>
        </w:rPr>
      </w:pPr>
      <w:r>
        <w:rPr>
          <w:position w:val="-10"/>
        </w:rPr>
        <w:object w:dxaOrig="4280" w:dyaOrig="380">
          <v:shape id="_x0000_i1092" type="#_x0000_t75" style="width:213.75pt;height:18.75pt" o:ole="" fillcolor="window">
            <v:imagedata r:id="rId174" o:title=""/>
          </v:shape>
          <o:OLEObject Type="Embed" ProgID="Equation.3" ShapeID="_x0000_i1092" DrawAspect="Content" ObjectID="_1742211826" r:id="rId175"/>
        </w:object>
      </w:r>
    </w:p>
    <w:p w:rsidR="00000000" w:rsidRDefault="00657A20">
      <w:pPr>
        <w:pStyle w:val="BodyText"/>
        <w:spacing w:line="360" w:lineRule="auto"/>
        <w:rPr>
          <w:b/>
          <w:bCs/>
          <w:u w:val="single"/>
        </w:rPr>
      </w:pPr>
      <w:r>
        <w:rPr>
          <w:b/>
          <w:bCs/>
          <w:u w:val="single"/>
        </w:rPr>
        <w:t>Equation A.23</w:t>
      </w:r>
    </w:p>
    <w:p w:rsidR="00000000" w:rsidRDefault="00657A20">
      <w:pPr>
        <w:pStyle w:val="BodyText"/>
        <w:spacing w:line="360" w:lineRule="auto"/>
        <w:jc w:val="center"/>
      </w:pPr>
      <w:r>
        <w:rPr>
          <w:i/>
          <w:vertAlign w:val="superscript"/>
        </w:rPr>
        <w:tab/>
        <w:t xml:space="preserve">   </w:t>
      </w:r>
      <w:r>
        <w:rPr>
          <w:position w:val="-16"/>
        </w:rPr>
        <w:object w:dxaOrig="8360" w:dyaOrig="480">
          <v:shape id="_x0000_i1093" type="#_x0000_t75" style="width:418.5pt;height:24pt" o:ole="" fillcolor="window">
            <v:imagedata r:id="rId176" o:title=""/>
          </v:shape>
          <o:OLEObject Type="Embed" ProgID="Equation.3" ShapeID="_x0000_i1093" DrawAspect="Content" ObjectID="_1742211827" r:id="rId177"/>
        </w:object>
      </w:r>
    </w:p>
    <w:p w:rsidR="00000000" w:rsidRDefault="00657A20">
      <w:pPr>
        <w:pStyle w:val="BodyText"/>
        <w:spacing w:line="360" w:lineRule="auto"/>
        <w:rPr>
          <w:b/>
          <w:bCs/>
          <w:u w:val="single"/>
        </w:rPr>
      </w:pPr>
      <w:r>
        <w:rPr>
          <w:b/>
          <w:bCs/>
          <w:u w:val="single"/>
        </w:rPr>
        <w:t>Equation A.24</w:t>
      </w:r>
    </w:p>
    <w:p w:rsidR="00000000" w:rsidRDefault="00657A20">
      <w:pPr>
        <w:pStyle w:val="BodyText"/>
        <w:spacing w:line="360" w:lineRule="auto"/>
        <w:jc w:val="center"/>
      </w:pPr>
      <w:r>
        <w:rPr>
          <w:position w:val="-10"/>
        </w:rPr>
        <w:object w:dxaOrig="6380" w:dyaOrig="380">
          <v:shape id="_x0000_i1094" type="#_x0000_t75" style="width:318.75pt;height:18.75pt" o:ole="" fillcolor="window">
            <v:imagedata r:id="rId99" o:title=""/>
          </v:shape>
          <o:OLEObject Type="Embed" ProgID="Equation.3" ShapeID="_x0000_i1094" DrawAspect="Content" ObjectID="_1742211828" r:id="rId178"/>
        </w:object>
      </w:r>
    </w:p>
    <w:p w:rsidR="00000000" w:rsidRDefault="00657A20">
      <w:pPr>
        <w:pStyle w:val="BodyText"/>
        <w:spacing w:line="360" w:lineRule="auto"/>
        <w:jc w:val="center"/>
      </w:pPr>
      <w:r>
        <w:rPr>
          <w:position w:val="-10"/>
        </w:rPr>
        <w:object w:dxaOrig="6399" w:dyaOrig="380">
          <v:shape id="_x0000_i1095" type="#_x0000_t75" style="width:320.25pt;height:18.75pt" o:ole="" fillcolor="window">
            <v:imagedata r:id="rId179" o:title=""/>
          </v:shape>
          <o:OLEObject Type="Embed" ProgID="Equation.3" ShapeID="_x0000_i1095" DrawAspect="Content" ObjectID="_1742211829" r:id="rId180"/>
        </w:object>
      </w:r>
    </w:p>
    <w:p w:rsidR="00000000" w:rsidRDefault="00657A20">
      <w:pPr>
        <w:pStyle w:val="BodyText"/>
        <w:spacing w:line="360" w:lineRule="auto"/>
        <w:rPr>
          <w:b/>
          <w:bCs/>
          <w:u w:val="single"/>
        </w:rPr>
      </w:pPr>
      <w:r>
        <w:rPr>
          <w:b/>
          <w:bCs/>
          <w:u w:val="single"/>
        </w:rPr>
        <w:t>Equation A.25</w:t>
      </w:r>
    </w:p>
    <w:p w:rsidR="00000000" w:rsidRDefault="00657A20">
      <w:pPr>
        <w:jc w:val="center"/>
        <w:rPr>
          <w:i/>
          <w:iCs/>
          <w:sz w:val="24"/>
        </w:rPr>
      </w:pPr>
      <w:r>
        <w:rPr>
          <w:i/>
          <w:iCs/>
          <w:sz w:val="28"/>
        </w:rPr>
        <w:t>CI = C</w:t>
      </w:r>
      <w:r>
        <w:rPr>
          <w:i/>
          <w:iCs/>
          <w:sz w:val="28"/>
          <w:vertAlign w:val="subscript"/>
        </w:rPr>
        <w:t>m</w:t>
      </w:r>
      <w:r>
        <w:rPr>
          <w:i/>
          <w:iCs/>
          <w:sz w:val="28"/>
        </w:rPr>
        <w:t xml:space="preserve"> </w:t>
      </w:r>
      <w:r>
        <w:rPr>
          <w:i/>
          <w:iCs/>
          <w:sz w:val="28"/>
        </w:rPr>
        <w:sym w:font="Symbol" w:char="F0B1"/>
      </w:r>
      <w:r>
        <w:rPr>
          <w:i/>
          <w:iCs/>
          <w:sz w:val="28"/>
        </w:rPr>
        <w:t xml:space="preserve"> (C</w:t>
      </w:r>
      <w:r>
        <w:rPr>
          <w:i/>
          <w:iCs/>
          <w:sz w:val="28"/>
          <w:vertAlign w:val="subscript"/>
        </w:rPr>
        <w:t>m</w:t>
      </w:r>
      <w:r>
        <w:rPr>
          <w:i/>
          <w:iCs/>
          <w:sz w:val="28"/>
        </w:rPr>
        <w:t>)*(k*</w:t>
      </w:r>
      <w:r>
        <w:rPr>
          <w:i/>
          <w:iCs/>
          <w:sz w:val="28"/>
          <w:vertAlign w:val="subscript"/>
        </w:rPr>
        <w:t xml:space="preserve"> </w:t>
      </w:r>
      <w:r>
        <w:rPr>
          <w:i/>
          <w:iCs/>
          <w:sz w:val="28"/>
          <w:vertAlign w:val="superscript"/>
        </w:rPr>
        <w:t>RST</w:t>
      </w:r>
      <w:r>
        <w:rPr>
          <w:i/>
          <w:iCs/>
          <w:sz w:val="28"/>
        </w:rPr>
        <w:t>u</w:t>
      </w:r>
      <w:r>
        <w:rPr>
          <w:i/>
          <w:iCs/>
          <w:sz w:val="28"/>
          <w:vertAlign w:val="subscript"/>
        </w:rPr>
        <w:t>r</w:t>
      </w:r>
      <w:r>
        <w:rPr>
          <w:i/>
          <w:iCs/>
          <w:sz w:val="28"/>
        </w:rPr>
        <w:t>)=</w:t>
      </w:r>
      <w:r>
        <w:rPr>
          <w:sz w:val="28"/>
        </w:rPr>
        <w:t xml:space="preserve"> </w:t>
      </w:r>
      <w:r>
        <w:rPr>
          <w:sz w:val="24"/>
        </w:rPr>
        <w:t xml:space="preserve">10 </w:t>
      </w:r>
      <w:r>
        <w:rPr>
          <w:sz w:val="24"/>
        </w:rPr>
        <w:sym w:font="Symbol" w:char="F0B1"/>
      </w:r>
      <w:r>
        <w:rPr>
          <w:sz w:val="24"/>
        </w:rPr>
        <w:t xml:space="preserve"> (10*2.093*0.1113) = 10 </w:t>
      </w:r>
      <w:r>
        <w:rPr>
          <w:sz w:val="24"/>
        </w:rPr>
        <w:sym w:font="Symbol" w:char="F0B1"/>
      </w:r>
      <w:r>
        <w:rPr>
          <w:sz w:val="24"/>
        </w:rPr>
        <w:t xml:space="preserve"> 2.3 </w:t>
      </w:r>
      <w:r>
        <w:rPr>
          <w:i/>
          <w:iCs/>
          <w:sz w:val="24"/>
        </w:rPr>
        <w:t>mg/L</w:t>
      </w:r>
    </w:p>
    <w:p w:rsidR="00000000" w:rsidRDefault="00657A20">
      <w:pPr>
        <w:pStyle w:val="BodyText"/>
        <w:spacing w:line="360" w:lineRule="auto"/>
        <w:rPr>
          <w:b/>
          <w:bCs/>
          <w:u w:val="single"/>
        </w:rPr>
      </w:pPr>
      <w:r>
        <w:rPr>
          <w:b/>
          <w:bCs/>
          <w:u w:val="single"/>
        </w:rPr>
        <w:t>Equation A.26</w:t>
      </w:r>
    </w:p>
    <w:p w:rsidR="00000000" w:rsidRDefault="00657A20">
      <w:pPr>
        <w:spacing w:line="360" w:lineRule="auto"/>
        <w:jc w:val="center"/>
        <w:rPr>
          <w:i/>
          <w:iCs/>
          <w:sz w:val="28"/>
        </w:rPr>
      </w:pPr>
      <w:r>
        <w:rPr>
          <w:i/>
          <w:iCs/>
          <w:sz w:val="28"/>
        </w:rPr>
        <w:t>C</w:t>
      </w:r>
      <w:r>
        <w:rPr>
          <w:i/>
          <w:iCs/>
          <w:sz w:val="28"/>
          <w:vertAlign w:val="subscript"/>
        </w:rPr>
        <w:t>mBC</w:t>
      </w:r>
      <w:r>
        <w:rPr>
          <w:i/>
          <w:iCs/>
          <w:sz w:val="28"/>
        </w:rPr>
        <w:t xml:space="preserve"> = </w:t>
      </w:r>
      <w:r>
        <w:rPr>
          <w:position w:val="-32"/>
        </w:rPr>
        <w:object w:dxaOrig="5360" w:dyaOrig="760">
          <v:shape id="_x0000_i1096" type="#_x0000_t75" style="width:268.5pt;height:38.25pt" o:ole="" fillcolor="window">
            <v:imagedata r:id="rId181" o:title=""/>
          </v:shape>
          <o:OLEObject Type="Embed" ProgID="Equation.3" ShapeID="_x0000_i1096" DrawAspect="Content" ObjectID="_1742211830" r:id="rId182"/>
        </w:object>
      </w:r>
    </w:p>
    <w:p w:rsidR="00000000" w:rsidRDefault="00657A20">
      <w:pPr>
        <w:pStyle w:val="BodyText"/>
        <w:spacing w:line="360" w:lineRule="auto"/>
        <w:rPr>
          <w:b/>
          <w:bCs/>
          <w:u w:val="single"/>
        </w:rPr>
      </w:pPr>
      <w:r>
        <w:rPr>
          <w:b/>
          <w:bCs/>
          <w:u w:val="single"/>
        </w:rPr>
        <w:t>Equation A.27a</w:t>
      </w:r>
    </w:p>
    <w:p w:rsidR="00000000" w:rsidRDefault="00657A20">
      <w:pPr>
        <w:spacing w:line="360" w:lineRule="auto"/>
        <w:jc w:val="center"/>
        <w:rPr>
          <w:i/>
          <w:iCs/>
          <w:sz w:val="28"/>
        </w:rPr>
      </w:pPr>
      <w:r>
        <w:rPr>
          <w:i/>
          <w:iCs/>
          <w:sz w:val="28"/>
        </w:rPr>
        <w:t>CI</w:t>
      </w:r>
      <w:r>
        <w:rPr>
          <w:i/>
          <w:iCs/>
          <w:sz w:val="28"/>
          <w:vertAlign w:val="subscript"/>
        </w:rPr>
        <w:t>BC</w:t>
      </w:r>
      <w:r>
        <w:rPr>
          <w:i/>
          <w:iCs/>
          <w:sz w:val="28"/>
        </w:rPr>
        <w:t xml:space="preserve"> = C</w:t>
      </w:r>
      <w:r>
        <w:rPr>
          <w:i/>
          <w:iCs/>
          <w:sz w:val="28"/>
          <w:vertAlign w:val="subscript"/>
        </w:rPr>
        <w:t>mB</w:t>
      </w:r>
      <w:r>
        <w:rPr>
          <w:i/>
          <w:iCs/>
          <w:sz w:val="28"/>
          <w:vertAlign w:val="subscript"/>
        </w:rPr>
        <w:t>C</w:t>
      </w:r>
      <w:r>
        <w:rPr>
          <w:i/>
          <w:iCs/>
          <w:sz w:val="28"/>
        </w:rPr>
        <w:t xml:space="preserve"> </w:t>
      </w:r>
      <w:r>
        <w:rPr>
          <w:i/>
          <w:iCs/>
          <w:sz w:val="28"/>
        </w:rPr>
        <w:sym w:font="Symbol" w:char="F0B1"/>
      </w:r>
      <w:r>
        <w:rPr>
          <w:i/>
          <w:iCs/>
          <w:sz w:val="28"/>
        </w:rPr>
        <w:t xml:space="preserve"> (C</w:t>
      </w:r>
      <w:r>
        <w:rPr>
          <w:i/>
          <w:iCs/>
          <w:sz w:val="28"/>
          <w:vertAlign w:val="subscript"/>
        </w:rPr>
        <w:t>mBC</w:t>
      </w:r>
      <w:r>
        <w:rPr>
          <w:i/>
          <w:iCs/>
          <w:sz w:val="28"/>
        </w:rPr>
        <w:t>)*(k*</w:t>
      </w:r>
      <w:r>
        <w:rPr>
          <w:i/>
          <w:iCs/>
          <w:sz w:val="28"/>
          <w:vertAlign w:val="subscript"/>
        </w:rPr>
        <w:t xml:space="preserve"> </w:t>
      </w:r>
      <w:r>
        <w:rPr>
          <w:i/>
          <w:iCs/>
          <w:sz w:val="28"/>
          <w:vertAlign w:val="superscript"/>
        </w:rPr>
        <w:t>RST</w:t>
      </w:r>
      <w:r>
        <w:rPr>
          <w:i/>
          <w:iCs/>
          <w:sz w:val="28"/>
        </w:rPr>
        <w:t>u</w:t>
      </w:r>
      <w:r>
        <w:rPr>
          <w:i/>
          <w:iCs/>
          <w:sz w:val="28"/>
          <w:vertAlign w:val="subscript"/>
        </w:rPr>
        <w:t>r</w:t>
      </w:r>
      <w:r>
        <w:rPr>
          <w:i/>
          <w:iCs/>
          <w:sz w:val="28"/>
        </w:rPr>
        <w:t>)</w:t>
      </w:r>
      <w:r>
        <w:rPr>
          <w:sz w:val="28"/>
        </w:rPr>
        <w:t xml:space="preserve">= </w:t>
      </w:r>
      <w:r>
        <w:rPr>
          <w:sz w:val="24"/>
        </w:rPr>
        <w:t xml:space="preserve">9.5 </w:t>
      </w:r>
      <w:r>
        <w:rPr>
          <w:sz w:val="24"/>
        </w:rPr>
        <w:sym w:font="Symbol" w:char="F0B1"/>
      </w:r>
      <w:r>
        <w:rPr>
          <w:sz w:val="24"/>
        </w:rPr>
        <w:t xml:space="preserve">(9.5*2.093*0.1113) = 9.5 </w:t>
      </w:r>
      <w:r>
        <w:rPr>
          <w:sz w:val="24"/>
        </w:rPr>
        <w:sym w:font="Symbol" w:char="F0B1"/>
      </w:r>
      <w:r>
        <w:rPr>
          <w:sz w:val="24"/>
        </w:rPr>
        <w:t xml:space="preserve"> 2.2 </w:t>
      </w:r>
      <w:r>
        <w:rPr>
          <w:i/>
          <w:iCs/>
          <w:sz w:val="24"/>
        </w:rPr>
        <w:t>mg/L</w:t>
      </w:r>
    </w:p>
    <w:p w:rsidR="00657A20" w:rsidRDefault="00657A20">
      <w:pPr>
        <w:pStyle w:val="BodyText"/>
        <w:spacing w:line="360" w:lineRule="auto"/>
        <w:rPr>
          <w:b/>
          <w:bCs/>
          <w:u w:val="single"/>
        </w:rPr>
      </w:pPr>
      <w:r>
        <w:rPr>
          <w:b/>
          <w:bCs/>
          <w:u w:val="single"/>
        </w:rPr>
        <w:t>Equation A.27b</w:t>
      </w:r>
    </w:p>
    <w:sectPr w:rsidR="00657A20">
      <w:headerReference w:type="default" r:id="rId183"/>
      <w:footerReference w:type="even" r:id="rId184"/>
      <w:footerReference w:type="default" r:id="rId185"/>
      <w:headerReference w:type="first" r:id="rId186"/>
      <w:pgSz w:w="12240" w:h="15840"/>
      <w:pgMar w:top="1440" w:right="1440" w:bottom="1440"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7A20" w:rsidRDefault="00657A20">
      <w:r>
        <w:separator/>
      </w:r>
    </w:p>
  </w:endnote>
  <w:endnote w:type="continuationSeparator" w:id="1">
    <w:p w:rsidR="00657A20" w:rsidRDefault="00657A2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57A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657A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57A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B764D">
      <w:rPr>
        <w:rStyle w:val="PageNumber"/>
        <w:noProof/>
      </w:rPr>
      <w:t>2</w:t>
    </w:r>
    <w:r>
      <w:rPr>
        <w:rStyle w:val="PageNumber"/>
      </w:rPr>
      <w:fldChar w:fldCharType="end"/>
    </w:r>
  </w:p>
  <w:p w:rsidR="00000000" w:rsidRDefault="00657A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7A20" w:rsidRDefault="00657A20">
      <w:r>
        <w:separator/>
      </w:r>
    </w:p>
  </w:footnote>
  <w:footnote w:type="continuationSeparator" w:id="1">
    <w:p w:rsidR="00657A20" w:rsidRDefault="00657A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57A20">
    <w:pPr>
      <w:widowControl w:val="0"/>
      <w:tabs>
        <w:tab w:val="left" w:pos="-1080"/>
        <w:tab w:val="left" w:pos="-720"/>
        <w:tab w:val="left" w:pos="0"/>
        <w:tab w:val="left" w:pos="810"/>
        <w:tab w:val="left" w:pos="1440"/>
        <w:tab w:val="left" w:pos="2160"/>
        <w:tab w:val="left" w:pos="2880"/>
        <w:tab w:val="left" w:pos="3600"/>
        <w:tab w:val="left" w:pos="4320"/>
        <w:tab w:val="left" w:pos="5040"/>
        <w:tab w:val="left" w:pos="5760"/>
        <w:tab w:val="left" w:pos="6480"/>
        <w:tab w:val="left" w:pos="7110"/>
        <w:tab w:val="left" w:pos="7920"/>
        <w:tab w:val="left" w:pos="8640"/>
        <w:tab w:val="left" w:pos="9360"/>
      </w:tabs>
      <w:snapToGrid w:val="0"/>
      <w:ind w:left="810" w:hanging="810"/>
      <w:jc w:val="right"/>
      <w:rPr>
        <w:b/>
        <w:bCs/>
        <w:sz w:val="24"/>
      </w:rPr>
    </w:pPr>
    <w:r>
      <w:rPr>
        <w:b/>
        <w:bCs/>
      </w:rPr>
      <w:t xml:space="preserve">Navy Laboratory Quality and Accreditation Office </w:t>
    </w:r>
  </w:p>
  <w:p w:rsidR="00000000" w:rsidRDefault="00657A20">
    <w:pPr>
      <w:pStyle w:val="Header"/>
      <w:jc w:val="right"/>
      <w:rPr>
        <w:b/>
        <w:bCs/>
      </w:rPr>
    </w:pPr>
    <w:r>
      <w:rPr>
        <w:b/>
        <w:bCs/>
      </w:rPr>
      <w:t xml:space="preserve"> Navy Shipyard Laboratory Standard Operating Procedure</w:t>
    </w:r>
  </w:p>
  <w:p w:rsidR="00000000" w:rsidRDefault="00657A20">
    <w:pPr>
      <w:pStyle w:val="Header"/>
      <w:jc w:val="right"/>
    </w:pPr>
    <w:r>
      <w:rPr>
        <w:b/>
        <w:bCs/>
      </w:rPr>
      <w:t>SOP: 06, Revision: 2, Date: June 2003</w:t>
    </w:r>
  </w:p>
  <w:p w:rsidR="00000000" w:rsidRDefault="00657A2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57A20">
    <w:pPr>
      <w:widowControl w:val="0"/>
      <w:tabs>
        <w:tab w:val="left" w:pos="-1080"/>
        <w:tab w:val="left" w:pos="-720"/>
        <w:tab w:val="left" w:pos="0"/>
        <w:tab w:val="left" w:pos="810"/>
        <w:tab w:val="left" w:pos="1440"/>
        <w:tab w:val="left" w:pos="2160"/>
        <w:tab w:val="left" w:pos="2880"/>
        <w:tab w:val="left" w:pos="3600"/>
        <w:tab w:val="left" w:pos="4320"/>
        <w:tab w:val="left" w:pos="5040"/>
        <w:tab w:val="left" w:pos="5760"/>
        <w:tab w:val="left" w:pos="6480"/>
        <w:tab w:val="left" w:pos="7110"/>
        <w:tab w:val="left" w:pos="7920"/>
        <w:tab w:val="left" w:pos="8640"/>
        <w:tab w:val="left" w:pos="9360"/>
      </w:tabs>
      <w:snapToGrid w:val="0"/>
      <w:ind w:left="810" w:hanging="810"/>
      <w:jc w:val="right"/>
      <w:rPr>
        <w:b/>
        <w:bCs/>
        <w:sz w:val="24"/>
      </w:rPr>
    </w:pPr>
    <w:r>
      <w:rPr>
        <w:b/>
        <w:bCs/>
      </w:rPr>
      <w:t>Navy La</w:t>
    </w:r>
    <w:r>
      <w:rPr>
        <w:b/>
        <w:bCs/>
      </w:rPr>
      <w:t xml:space="preserve">boratory Quality and Accreditation Office </w:t>
    </w:r>
  </w:p>
  <w:p w:rsidR="00000000" w:rsidRDefault="00657A20">
    <w:pPr>
      <w:pStyle w:val="Header"/>
      <w:jc w:val="right"/>
      <w:rPr>
        <w:b/>
        <w:bCs/>
      </w:rPr>
    </w:pPr>
    <w:r>
      <w:rPr>
        <w:b/>
        <w:bCs/>
      </w:rPr>
      <w:t xml:space="preserve"> Navy Shipyard Laboratory Standard Operating Procedure</w:t>
    </w:r>
  </w:p>
  <w:p w:rsidR="00000000" w:rsidRDefault="00657A20">
    <w:pPr>
      <w:pStyle w:val="Header"/>
      <w:jc w:val="right"/>
    </w:pPr>
    <w:r>
      <w:rPr>
        <w:b/>
        <w:bCs/>
      </w:rPr>
      <w:t>SOP: 06, Revision: 2, Date: June 2003</w:t>
    </w:r>
  </w:p>
  <w:p w:rsidR="00000000" w:rsidRDefault="00657A20">
    <w:pPr>
      <w:pStyle w:val="Header"/>
    </w:pPr>
  </w:p>
  <w:p w:rsidR="00000000" w:rsidRDefault="00657A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C54B5"/>
    <w:multiLevelType w:val="hybridMultilevel"/>
    <w:tmpl w:val="CA862FB4"/>
    <w:lvl w:ilvl="0" w:tplc="04090005">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
    <w:nsid w:val="1C00700D"/>
    <w:multiLevelType w:val="multilevel"/>
    <w:tmpl w:val="FD4CFC36"/>
    <w:lvl w:ilvl="0">
      <w:start w:val="1"/>
      <w:numFmt w:val="bullet"/>
      <w:lvlText w:val=""/>
      <w:lvlJc w:val="left"/>
      <w:pPr>
        <w:tabs>
          <w:tab w:val="num" w:pos="1440"/>
        </w:tabs>
        <w:ind w:left="1440" w:hanging="360"/>
      </w:pPr>
      <w:rPr>
        <w:rFonts w:ascii="Wingdings" w:hAnsi="Wingdings" w:hint="default"/>
      </w:rPr>
    </w:lvl>
    <w:lvl w:ilvl="1">
      <w:start w:val="1"/>
      <w:numFmt w:val="decimal"/>
      <w:lvlText w:val="%1.%2"/>
      <w:lvlJc w:val="left"/>
      <w:pPr>
        <w:tabs>
          <w:tab w:val="num" w:pos="1980"/>
        </w:tabs>
        <w:ind w:left="198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4860"/>
        </w:tabs>
        <w:ind w:left="486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300"/>
        </w:tabs>
        <w:ind w:left="6300" w:hanging="1440"/>
      </w:pPr>
      <w:rPr>
        <w:rFonts w:hint="default"/>
      </w:rPr>
    </w:lvl>
    <w:lvl w:ilvl="8">
      <w:start w:val="1"/>
      <w:numFmt w:val="decimal"/>
      <w:lvlText w:val="%1.%2.%3.%4.%5.%6.%7.%8.%9"/>
      <w:lvlJc w:val="left"/>
      <w:pPr>
        <w:tabs>
          <w:tab w:val="num" w:pos="7200"/>
        </w:tabs>
        <w:ind w:left="7200" w:hanging="1800"/>
      </w:pPr>
      <w:rPr>
        <w:rFonts w:hint="default"/>
      </w:rPr>
    </w:lvl>
  </w:abstractNum>
  <w:abstractNum w:abstractNumId="2">
    <w:nsid w:val="1C982031"/>
    <w:multiLevelType w:val="hybridMultilevel"/>
    <w:tmpl w:val="4E14DED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F682051"/>
    <w:multiLevelType w:val="multilevel"/>
    <w:tmpl w:val="FD4CFC36"/>
    <w:lvl w:ilvl="0">
      <w:start w:val="1"/>
      <w:numFmt w:val="bullet"/>
      <w:lvlText w:val=""/>
      <w:lvlJc w:val="left"/>
      <w:pPr>
        <w:tabs>
          <w:tab w:val="num" w:pos="2700"/>
        </w:tabs>
        <w:ind w:left="2700" w:hanging="360"/>
      </w:pPr>
      <w:rPr>
        <w:rFonts w:ascii="Wingdings" w:hAnsi="Wingdings" w:hint="default"/>
      </w:rPr>
    </w:lvl>
    <w:lvl w:ilvl="1">
      <w:start w:val="1"/>
      <w:numFmt w:val="decimal"/>
      <w:lvlText w:val="%1.%2"/>
      <w:lvlJc w:val="left"/>
      <w:pPr>
        <w:tabs>
          <w:tab w:val="num" w:pos="3240"/>
        </w:tabs>
        <w:ind w:left="3240" w:hanging="360"/>
      </w:pPr>
      <w:rPr>
        <w:rFonts w:hint="default"/>
      </w:rPr>
    </w:lvl>
    <w:lvl w:ilvl="2">
      <w:start w:val="1"/>
      <w:numFmt w:val="decimal"/>
      <w:lvlText w:val="%1.%2.%3"/>
      <w:lvlJc w:val="left"/>
      <w:pPr>
        <w:tabs>
          <w:tab w:val="num" w:pos="4140"/>
        </w:tabs>
        <w:ind w:left="4140" w:hanging="720"/>
      </w:pPr>
      <w:rPr>
        <w:rFonts w:hint="default"/>
      </w:rPr>
    </w:lvl>
    <w:lvl w:ilvl="3">
      <w:start w:val="1"/>
      <w:numFmt w:val="decimal"/>
      <w:lvlText w:val="%1.%2.%3.%4"/>
      <w:lvlJc w:val="left"/>
      <w:pPr>
        <w:tabs>
          <w:tab w:val="num" w:pos="4680"/>
        </w:tabs>
        <w:ind w:left="4680" w:hanging="720"/>
      </w:pPr>
      <w:rPr>
        <w:rFonts w:hint="default"/>
      </w:rPr>
    </w:lvl>
    <w:lvl w:ilvl="4">
      <w:start w:val="1"/>
      <w:numFmt w:val="decimal"/>
      <w:lvlText w:val="%1.%2.%3.%4.%5"/>
      <w:lvlJc w:val="left"/>
      <w:pPr>
        <w:tabs>
          <w:tab w:val="num" w:pos="5580"/>
        </w:tabs>
        <w:ind w:left="558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7020"/>
        </w:tabs>
        <w:ind w:left="7020" w:hanging="1440"/>
      </w:pPr>
      <w:rPr>
        <w:rFonts w:hint="default"/>
      </w:rPr>
    </w:lvl>
    <w:lvl w:ilvl="7">
      <w:start w:val="1"/>
      <w:numFmt w:val="decimal"/>
      <w:lvlText w:val="%1.%2.%3.%4.%5.%6.%7.%8"/>
      <w:lvlJc w:val="left"/>
      <w:pPr>
        <w:tabs>
          <w:tab w:val="num" w:pos="7560"/>
        </w:tabs>
        <w:ind w:left="7560" w:hanging="1440"/>
      </w:pPr>
      <w:rPr>
        <w:rFonts w:hint="default"/>
      </w:rPr>
    </w:lvl>
    <w:lvl w:ilvl="8">
      <w:start w:val="1"/>
      <w:numFmt w:val="decimal"/>
      <w:lvlText w:val="%1.%2.%3.%4.%5.%6.%7.%8.%9"/>
      <w:lvlJc w:val="left"/>
      <w:pPr>
        <w:tabs>
          <w:tab w:val="num" w:pos="8460"/>
        </w:tabs>
        <w:ind w:left="8460" w:hanging="1800"/>
      </w:pPr>
      <w:rPr>
        <w:rFonts w:hint="default"/>
      </w:rPr>
    </w:lvl>
  </w:abstractNum>
  <w:abstractNum w:abstractNumId="4">
    <w:nsid w:val="2D752DFB"/>
    <w:multiLevelType w:val="hybridMultilevel"/>
    <w:tmpl w:val="81168C66"/>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39E306AE"/>
    <w:multiLevelType w:val="multilevel"/>
    <w:tmpl w:val="84786176"/>
    <w:lvl w:ilvl="0">
      <w:start w:val="7"/>
      <w:numFmt w:val="decimal"/>
      <w:pStyle w:val="Heading3"/>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6">
    <w:nsid w:val="3FCD52B9"/>
    <w:multiLevelType w:val="multilevel"/>
    <w:tmpl w:val="A4CA7D5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40780956"/>
    <w:multiLevelType w:val="multilevel"/>
    <w:tmpl w:val="9F7009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8">
    <w:nsid w:val="41CE2EBC"/>
    <w:multiLevelType w:val="hybridMultilevel"/>
    <w:tmpl w:val="390AC1B8"/>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491565F0"/>
    <w:multiLevelType w:val="multilevel"/>
    <w:tmpl w:val="ECFC053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0">
    <w:nsid w:val="559503F0"/>
    <w:multiLevelType w:val="multilevel"/>
    <w:tmpl w:val="A4CA7D56"/>
    <w:lvl w:ilvl="0">
      <w:start w:val="1"/>
      <w:numFmt w:val="bullet"/>
      <w:lvlText w:val=""/>
      <w:lvlJc w:val="left"/>
      <w:pPr>
        <w:tabs>
          <w:tab w:val="num" w:pos="720"/>
        </w:tabs>
        <w:ind w:left="720" w:hanging="360"/>
      </w:pPr>
      <w:rPr>
        <w:rFonts w:ascii="Wingdings" w:hAnsi="Wingding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5EFA7759"/>
    <w:multiLevelType w:val="multilevel"/>
    <w:tmpl w:val="5ACEE84C"/>
    <w:lvl w:ilvl="0">
      <w:start w:val="6"/>
      <w:numFmt w:val="decimal"/>
      <w:pStyle w:val="Heading4"/>
      <w:lvlText w:val="%1"/>
      <w:lvlJc w:val="left"/>
      <w:pPr>
        <w:tabs>
          <w:tab w:val="num" w:pos="540"/>
        </w:tabs>
        <w:ind w:left="540" w:hanging="540"/>
      </w:pPr>
      <w:rPr>
        <w:rFonts w:hint="default"/>
      </w:rPr>
    </w:lvl>
    <w:lvl w:ilvl="1">
      <w:start w:val="1"/>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2">
    <w:nsid w:val="5FFE5B4F"/>
    <w:multiLevelType w:val="hybridMultilevel"/>
    <w:tmpl w:val="46082E02"/>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6B392771"/>
    <w:multiLevelType w:val="hybridMultilevel"/>
    <w:tmpl w:val="ADE82800"/>
    <w:lvl w:ilvl="0" w:tplc="CFACAF88">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0"/>
  </w:num>
  <w:num w:numId="2">
    <w:abstractNumId w:val="6"/>
  </w:num>
  <w:num w:numId="3">
    <w:abstractNumId w:val="2"/>
  </w:num>
  <w:num w:numId="4">
    <w:abstractNumId w:val="11"/>
  </w:num>
  <w:num w:numId="5">
    <w:abstractNumId w:val="5"/>
  </w:num>
  <w:num w:numId="6">
    <w:abstractNumId w:val="3"/>
  </w:num>
  <w:num w:numId="7">
    <w:abstractNumId w:val="7"/>
  </w:num>
  <w:num w:numId="8">
    <w:abstractNumId w:val="0"/>
  </w:num>
  <w:num w:numId="9">
    <w:abstractNumId w:val="9"/>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BB764D"/>
    <w:rsid w:val="00657A20"/>
    <w:rsid w:val="00BB76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bCs/>
      <w:sz w:val="24"/>
      <w:u w:val="single"/>
    </w:rPr>
  </w:style>
  <w:style w:type="paragraph" w:styleId="Heading2">
    <w:name w:val="heading 2"/>
    <w:basedOn w:val="Normal"/>
    <w:next w:val="Normal"/>
    <w:qFormat/>
    <w:pPr>
      <w:keepNext/>
      <w:widowControl w:val="0"/>
      <w:tabs>
        <w:tab w:val="left" w:pos="3616"/>
      </w:tabs>
      <w:autoSpaceDE w:val="0"/>
      <w:autoSpaceDN w:val="0"/>
      <w:adjustRightInd w:val="0"/>
      <w:outlineLvl w:val="1"/>
    </w:pPr>
    <w:rPr>
      <w:b/>
      <w:sz w:val="24"/>
    </w:rPr>
  </w:style>
  <w:style w:type="paragraph" w:styleId="Heading3">
    <w:name w:val="heading 3"/>
    <w:basedOn w:val="Normal"/>
    <w:next w:val="Normal"/>
    <w:qFormat/>
    <w:pPr>
      <w:keepNext/>
      <w:numPr>
        <w:numId w:val="5"/>
      </w:numPr>
      <w:outlineLvl w:val="2"/>
    </w:pPr>
    <w:rPr>
      <w:b/>
      <w:bCs/>
      <w:sz w:val="24"/>
    </w:rPr>
  </w:style>
  <w:style w:type="paragraph" w:styleId="Heading4">
    <w:name w:val="heading 4"/>
    <w:basedOn w:val="Normal"/>
    <w:next w:val="Normal"/>
    <w:qFormat/>
    <w:pPr>
      <w:keepNext/>
      <w:numPr>
        <w:numId w:val="4"/>
      </w:numPr>
      <w:spacing w:line="360" w:lineRule="auto"/>
      <w:outlineLvl w:val="3"/>
    </w:pPr>
    <w:rPr>
      <w:b/>
      <w:bCs/>
      <w:sz w:val="24"/>
    </w:rPr>
  </w:style>
  <w:style w:type="paragraph" w:styleId="Heading5">
    <w:name w:val="heading 5"/>
    <w:basedOn w:val="Normal"/>
    <w:next w:val="Normal"/>
    <w:qFormat/>
    <w:pPr>
      <w:keepNext/>
      <w:spacing w:line="360" w:lineRule="auto"/>
      <w:ind w:left="1440" w:hanging="720"/>
      <w:outlineLvl w:val="4"/>
    </w:pPr>
    <w:rPr>
      <w:b/>
      <w:bCs/>
      <w:sz w:val="24"/>
    </w:rPr>
  </w:style>
  <w:style w:type="paragraph" w:styleId="Heading6">
    <w:name w:val="heading 6"/>
    <w:basedOn w:val="Normal"/>
    <w:next w:val="Normal"/>
    <w:qFormat/>
    <w:pPr>
      <w:keepNext/>
      <w:jc w:val="center"/>
      <w:outlineLvl w:val="5"/>
    </w:pPr>
    <w:rPr>
      <w:b/>
      <w:bCs/>
      <w:sz w:val="24"/>
    </w:rPr>
  </w:style>
  <w:style w:type="paragraph" w:styleId="Heading7">
    <w:name w:val="heading 7"/>
    <w:basedOn w:val="Normal"/>
    <w:next w:val="Normal"/>
    <w:qFormat/>
    <w:pPr>
      <w:keepNext/>
      <w:outlineLvl w:val="6"/>
    </w:pPr>
    <w:rPr>
      <w:sz w:val="24"/>
    </w:rPr>
  </w:style>
  <w:style w:type="paragraph" w:styleId="Heading8">
    <w:name w:val="heading 8"/>
    <w:basedOn w:val="Normal"/>
    <w:next w:val="Normal"/>
    <w:qFormat/>
    <w:pPr>
      <w:keepNext/>
      <w:spacing w:line="360" w:lineRule="auto"/>
      <w:ind w:firstLine="360"/>
      <w:outlineLvl w:val="7"/>
    </w:pPr>
    <w:rPr>
      <w:b/>
      <w:bCs/>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pPr>
    <w:rPr>
      <w:sz w:val="24"/>
    </w:rPr>
  </w:style>
  <w:style w:type="paragraph" w:styleId="BodyText2">
    <w:name w:val="Body Text 2"/>
    <w:basedOn w:val="Normal"/>
    <w:semiHidden/>
    <w:pPr>
      <w:widowControl w:val="0"/>
      <w:tabs>
        <w:tab w:val="left" w:pos="-1440"/>
      </w:tabs>
      <w:autoSpaceDE w:val="0"/>
      <w:autoSpaceDN w:val="0"/>
      <w:adjustRightInd w:val="0"/>
    </w:pPr>
    <w:rPr>
      <w:snapToGrid w:val="0"/>
      <w:color w:val="000000"/>
      <w:sz w:val="24"/>
    </w:rPr>
  </w:style>
  <w:style w:type="paragraph" w:styleId="BodyText3">
    <w:name w:val="Body Text 3"/>
    <w:basedOn w:val="Normal"/>
    <w:semiHidden/>
    <w:pPr>
      <w:widowControl w:val="0"/>
      <w:autoSpaceDE w:val="0"/>
      <w:autoSpaceDN w:val="0"/>
      <w:adjustRightInd w:val="0"/>
    </w:pPr>
    <w:rPr>
      <w:sz w:val="24"/>
    </w:rPr>
  </w:style>
  <w:style w:type="paragraph" w:styleId="BodyTextIndent2">
    <w:name w:val="Body Text Indent 2"/>
    <w:basedOn w:val="Normal"/>
    <w:semiHidden/>
    <w:pPr>
      <w:ind w:left="1080" w:hanging="540"/>
    </w:pPr>
    <w:rPr>
      <w:sz w:val="24"/>
    </w:rPr>
  </w:style>
  <w:style w:type="paragraph" w:styleId="BodyTextIndent3">
    <w:name w:val="Body Text Indent 3"/>
    <w:basedOn w:val="Normal"/>
    <w:semiHidden/>
    <w:pPr>
      <w:ind w:left="1080"/>
    </w:pPr>
    <w:rPr>
      <w:sz w:val="24"/>
    </w:rPr>
  </w:style>
  <w:style w:type="paragraph" w:styleId="Title">
    <w:name w:val="Title"/>
    <w:basedOn w:val="Normal"/>
    <w:qFormat/>
    <w:pPr>
      <w:jc w:val="center"/>
    </w:pPr>
    <w:rPr>
      <w:b/>
      <w:bCs/>
      <w:sz w:val="24"/>
    </w:rPr>
  </w:style>
  <w:style w:type="paragraph" w:styleId="List">
    <w:name w:val="List"/>
    <w:basedOn w:val="Normal"/>
    <w:semiHidden/>
    <w:pPr>
      <w:ind w:left="360" w:hanging="36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sz w:val="24"/>
    </w:rPr>
  </w:style>
  <w:style w:type="paragraph" w:styleId="Caption">
    <w:name w:val="caption"/>
    <w:basedOn w:val="Normal"/>
    <w:next w:val="Normal"/>
    <w:qFormat/>
    <w:rPr>
      <w:b/>
      <w:sz w:val="24"/>
    </w:rPr>
  </w:style>
  <w:style w:type="paragraph" w:styleId="FootnoteText">
    <w:name w:val="footnote text"/>
    <w:basedOn w:val="Normal"/>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117" Type="http://schemas.openxmlformats.org/officeDocument/2006/relationships/oleObject" Target="embeddings/oleObject56.bin"/><Relationship Id="rId21" Type="http://schemas.openxmlformats.org/officeDocument/2006/relationships/image" Target="media/image7.wmf"/><Relationship Id="rId42" Type="http://schemas.openxmlformats.org/officeDocument/2006/relationships/oleObject" Target="embeddings/oleObject19.bin"/><Relationship Id="rId47" Type="http://schemas.openxmlformats.org/officeDocument/2006/relationships/image" Target="media/image20.wmf"/><Relationship Id="rId63" Type="http://schemas.openxmlformats.org/officeDocument/2006/relationships/image" Target="media/image28.wmf"/><Relationship Id="rId68" Type="http://schemas.openxmlformats.org/officeDocument/2006/relationships/oleObject" Target="embeddings/oleObject32.bin"/><Relationship Id="rId84" Type="http://schemas.openxmlformats.org/officeDocument/2006/relationships/oleObject" Target="embeddings/oleObject40.bin"/><Relationship Id="rId89" Type="http://schemas.openxmlformats.org/officeDocument/2006/relationships/image" Target="media/image41.wmf"/><Relationship Id="rId112" Type="http://schemas.openxmlformats.org/officeDocument/2006/relationships/oleObject" Target="embeddings/oleObject53.bin"/><Relationship Id="rId133" Type="http://schemas.openxmlformats.org/officeDocument/2006/relationships/oleObject" Target="embeddings/oleObject66.bin"/><Relationship Id="rId138" Type="http://schemas.openxmlformats.org/officeDocument/2006/relationships/oleObject" Target="embeddings/oleObject71.bin"/><Relationship Id="rId154" Type="http://schemas.openxmlformats.org/officeDocument/2006/relationships/oleObject" Target="embeddings/oleObject81.bin"/><Relationship Id="rId159" Type="http://schemas.openxmlformats.org/officeDocument/2006/relationships/image" Target="media/image67.wmf"/><Relationship Id="rId175" Type="http://schemas.openxmlformats.org/officeDocument/2006/relationships/oleObject" Target="embeddings/oleObject92.bin"/><Relationship Id="rId170" Type="http://schemas.openxmlformats.org/officeDocument/2006/relationships/image" Target="media/image72.wmf"/><Relationship Id="rId16" Type="http://schemas.openxmlformats.org/officeDocument/2006/relationships/oleObject" Target="embeddings/oleObject6.bin"/><Relationship Id="rId107" Type="http://schemas.openxmlformats.org/officeDocument/2006/relationships/image" Target="media/image50.wmf"/><Relationship Id="rId11" Type="http://schemas.openxmlformats.org/officeDocument/2006/relationships/image" Target="media/image3.wmf"/><Relationship Id="rId32" Type="http://schemas.openxmlformats.org/officeDocument/2006/relationships/oleObject" Target="embeddings/oleObject14.bin"/><Relationship Id="rId37" Type="http://schemas.openxmlformats.org/officeDocument/2006/relationships/image" Target="media/image15.wmf"/><Relationship Id="rId53" Type="http://schemas.openxmlformats.org/officeDocument/2006/relationships/image" Target="media/image23.wmf"/><Relationship Id="rId58" Type="http://schemas.openxmlformats.org/officeDocument/2006/relationships/oleObject" Target="embeddings/oleObject27.bin"/><Relationship Id="rId74" Type="http://schemas.openxmlformats.org/officeDocument/2006/relationships/oleObject" Target="embeddings/oleObject35.bin"/><Relationship Id="rId79" Type="http://schemas.openxmlformats.org/officeDocument/2006/relationships/image" Target="media/image36.wmf"/><Relationship Id="rId102" Type="http://schemas.openxmlformats.org/officeDocument/2006/relationships/oleObject" Target="embeddings/oleObject49.bin"/><Relationship Id="rId123" Type="http://schemas.openxmlformats.org/officeDocument/2006/relationships/oleObject" Target="embeddings/oleObject59.bin"/><Relationship Id="rId128" Type="http://schemas.openxmlformats.org/officeDocument/2006/relationships/oleObject" Target="embeddings/oleObject63.bin"/><Relationship Id="rId144" Type="http://schemas.openxmlformats.org/officeDocument/2006/relationships/image" Target="media/image61.wmf"/><Relationship Id="rId149" Type="http://schemas.openxmlformats.org/officeDocument/2006/relationships/image" Target="media/image62.wmf"/><Relationship Id="rId5" Type="http://schemas.openxmlformats.org/officeDocument/2006/relationships/footnotes" Target="footnotes.xml"/><Relationship Id="rId90" Type="http://schemas.openxmlformats.org/officeDocument/2006/relationships/oleObject" Target="embeddings/oleObject43.bin"/><Relationship Id="rId95" Type="http://schemas.openxmlformats.org/officeDocument/2006/relationships/image" Target="media/image44.wmf"/><Relationship Id="rId160" Type="http://schemas.openxmlformats.org/officeDocument/2006/relationships/oleObject" Target="embeddings/oleObject84.bin"/><Relationship Id="rId165" Type="http://schemas.openxmlformats.org/officeDocument/2006/relationships/image" Target="media/image70.wmf"/><Relationship Id="rId181" Type="http://schemas.openxmlformats.org/officeDocument/2006/relationships/image" Target="media/image77.wmf"/><Relationship Id="rId186" Type="http://schemas.openxmlformats.org/officeDocument/2006/relationships/header" Target="header2.xml"/><Relationship Id="rId22" Type="http://schemas.openxmlformats.org/officeDocument/2006/relationships/oleObject" Target="embeddings/oleObject9.bin"/><Relationship Id="rId27" Type="http://schemas.openxmlformats.org/officeDocument/2006/relationships/image" Target="media/image10.wmf"/><Relationship Id="rId43" Type="http://schemas.openxmlformats.org/officeDocument/2006/relationships/image" Target="media/image18.wmf"/><Relationship Id="rId48" Type="http://schemas.openxmlformats.org/officeDocument/2006/relationships/oleObject" Target="embeddings/oleObject22.bin"/><Relationship Id="rId64" Type="http://schemas.openxmlformats.org/officeDocument/2006/relationships/oleObject" Target="embeddings/oleObject30.bin"/><Relationship Id="rId69" Type="http://schemas.openxmlformats.org/officeDocument/2006/relationships/image" Target="media/image31.wmf"/><Relationship Id="rId113" Type="http://schemas.openxmlformats.org/officeDocument/2006/relationships/image" Target="media/image51.wmf"/><Relationship Id="rId118" Type="http://schemas.openxmlformats.org/officeDocument/2006/relationships/image" Target="media/image53.wmf"/><Relationship Id="rId134" Type="http://schemas.openxmlformats.org/officeDocument/2006/relationships/oleObject" Target="embeddings/oleObject67.bin"/><Relationship Id="rId139" Type="http://schemas.openxmlformats.org/officeDocument/2006/relationships/oleObject" Target="embeddings/oleObject72.bin"/><Relationship Id="rId80" Type="http://schemas.openxmlformats.org/officeDocument/2006/relationships/oleObject" Target="embeddings/oleObject38.bin"/><Relationship Id="rId85" Type="http://schemas.openxmlformats.org/officeDocument/2006/relationships/image" Target="media/image39.wmf"/><Relationship Id="rId150" Type="http://schemas.openxmlformats.org/officeDocument/2006/relationships/oleObject" Target="embeddings/oleObject79.bin"/><Relationship Id="rId155" Type="http://schemas.openxmlformats.org/officeDocument/2006/relationships/image" Target="media/image65.wmf"/><Relationship Id="rId171" Type="http://schemas.openxmlformats.org/officeDocument/2006/relationships/oleObject" Target="embeddings/oleObject90.bin"/><Relationship Id="rId176" Type="http://schemas.openxmlformats.org/officeDocument/2006/relationships/image" Target="media/image75.wmf"/><Relationship Id="rId12" Type="http://schemas.openxmlformats.org/officeDocument/2006/relationships/oleObject" Target="embeddings/oleObject3.bin"/><Relationship Id="rId17" Type="http://schemas.openxmlformats.org/officeDocument/2006/relationships/image" Target="media/image5.wmf"/><Relationship Id="rId33" Type="http://schemas.openxmlformats.org/officeDocument/2006/relationships/image" Target="media/image13.wmf"/><Relationship Id="rId38" Type="http://schemas.openxmlformats.org/officeDocument/2006/relationships/oleObject" Target="embeddings/oleObject17.bin"/><Relationship Id="rId59" Type="http://schemas.openxmlformats.org/officeDocument/2006/relationships/image" Target="media/image26.wmf"/><Relationship Id="rId103" Type="http://schemas.openxmlformats.org/officeDocument/2006/relationships/image" Target="media/image48.wmf"/><Relationship Id="rId108" Type="http://schemas.openxmlformats.org/officeDocument/2006/relationships/oleObject" Target="embeddings/Microsoft_Office_Excel_97-2003_Worksheet3.xls"/><Relationship Id="rId124" Type="http://schemas.openxmlformats.org/officeDocument/2006/relationships/oleObject" Target="embeddings/oleObject60.bin"/><Relationship Id="rId129" Type="http://schemas.openxmlformats.org/officeDocument/2006/relationships/image" Target="media/image57.wmf"/><Relationship Id="rId54" Type="http://schemas.openxmlformats.org/officeDocument/2006/relationships/oleObject" Target="embeddings/oleObject25.bin"/><Relationship Id="rId70" Type="http://schemas.openxmlformats.org/officeDocument/2006/relationships/oleObject" Target="embeddings/oleObject33.bin"/><Relationship Id="rId75" Type="http://schemas.openxmlformats.org/officeDocument/2006/relationships/image" Target="media/image34.wmf"/><Relationship Id="rId91" Type="http://schemas.openxmlformats.org/officeDocument/2006/relationships/image" Target="media/image42.wmf"/><Relationship Id="rId96" Type="http://schemas.openxmlformats.org/officeDocument/2006/relationships/oleObject" Target="embeddings/oleObject46.bin"/><Relationship Id="rId140" Type="http://schemas.openxmlformats.org/officeDocument/2006/relationships/image" Target="media/image59.wmf"/><Relationship Id="rId145" Type="http://schemas.openxmlformats.org/officeDocument/2006/relationships/oleObject" Target="embeddings/oleObject75.bin"/><Relationship Id="rId161" Type="http://schemas.openxmlformats.org/officeDocument/2006/relationships/image" Target="media/image68.wmf"/><Relationship Id="rId166" Type="http://schemas.openxmlformats.org/officeDocument/2006/relationships/oleObject" Target="embeddings/oleObject87.bin"/><Relationship Id="rId182" Type="http://schemas.openxmlformats.org/officeDocument/2006/relationships/oleObject" Target="embeddings/oleObject96.bin"/><Relationship Id="rId187"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8.wmf"/><Relationship Id="rId28" Type="http://schemas.openxmlformats.org/officeDocument/2006/relationships/oleObject" Target="embeddings/oleObject12.bin"/><Relationship Id="rId49" Type="http://schemas.openxmlformats.org/officeDocument/2006/relationships/image" Target="media/image21.wmf"/><Relationship Id="rId114" Type="http://schemas.openxmlformats.org/officeDocument/2006/relationships/oleObject" Target="embeddings/oleObject54.bin"/><Relationship Id="rId119" Type="http://schemas.openxmlformats.org/officeDocument/2006/relationships/oleObject" Target="embeddings/oleObject57.bin"/><Relationship Id="rId44" Type="http://schemas.openxmlformats.org/officeDocument/2006/relationships/oleObject" Target="embeddings/oleObject20.bin"/><Relationship Id="rId60" Type="http://schemas.openxmlformats.org/officeDocument/2006/relationships/oleObject" Target="embeddings/oleObject28.bin"/><Relationship Id="rId65" Type="http://schemas.openxmlformats.org/officeDocument/2006/relationships/image" Target="media/image29.wmf"/><Relationship Id="rId81" Type="http://schemas.openxmlformats.org/officeDocument/2006/relationships/image" Target="media/image37.wmf"/><Relationship Id="rId86" Type="http://schemas.openxmlformats.org/officeDocument/2006/relationships/oleObject" Target="embeddings/oleObject41.bin"/><Relationship Id="rId130" Type="http://schemas.openxmlformats.org/officeDocument/2006/relationships/oleObject" Target="embeddings/oleObject64.bin"/><Relationship Id="rId135" Type="http://schemas.openxmlformats.org/officeDocument/2006/relationships/oleObject" Target="embeddings/oleObject68.bin"/><Relationship Id="rId151" Type="http://schemas.openxmlformats.org/officeDocument/2006/relationships/image" Target="media/image63.wmf"/><Relationship Id="rId156" Type="http://schemas.openxmlformats.org/officeDocument/2006/relationships/oleObject" Target="embeddings/oleObject82.bin"/><Relationship Id="rId177" Type="http://schemas.openxmlformats.org/officeDocument/2006/relationships/oleObject" Target="embeddings/oleObject93.bin"/><Relationship Id="rId172" Type="http://schemas.openxmlformats.org/officeDocument/2006/relationships/image" Target="media/image73.wmf"/><Relationship Id="rId13" Type="http://schemas.openxmlformats.org/officeDocument/2006/relationships/oleObject" Target="embeddings/oleObject4.bin"/><Relationship Id="rId18" Type="http://schemas.openxmlformats.org/officeDocument/2006/relationships/oleObject" Target="embeddings/oleObject7.bin"/><Relationship Id="rId39" Type="http://schemas.openxmlformats.org/officeDocument/2006/relationships/image" Target="media/image16.wmf"/><Relationship Id="rId109" Type="http://schemas.openxmlformats.org/officeDocument/2006/relationships/oleObject" Target="embeddings/oleObject50.bin"/><Relationship Id="rId34" Type="http://schemas.openxmlformats.org/officeDocument/2006/relationships/oleObject" Target="embeddings/oleObject15.bin"/><Relationship Id="rId50" Type="http://schemas.openxmlformats.org/officeDocument/2006/relationships/oleObject" Target="embeddings/oleObject23.bin"/><Relationship Id="rId55" Type="http://schemas.openxmlformats.org/officeDocument/2006/relationships/image" Target="media/image24.wmf"/><Relationship Id="rId76" Type="http://schemas.openxmlformats.org/officeDocument/2006/relationships/oleObject" Target="embeddings/oleObject36.bin"/><Relationship Id="rId97" Type="http://schemas.openxmlformats.org/officeDocument/2006/relationships/image" Target="media/image45.wmf"/><Relationship Id="rId104" Type="http://schemas.openxmlformats.org/officeDocument/2006/relationships/oleObject" Target="embeddings/Microsoft_Office_Excel_97-2003_Worksheet1.xls"/><Relationship Id="rId120" Type="http://schemas.openxmlformats.org/officeDocument/2006/relationships/image" Target="media/image54.wmf"/><Relationship Id="rId125" Type="http://schemas.openxmlformats.org/officeDocument/2006/relationships/oleObject" Target="embeddings/oleObject61.bin"/><Relationship Id="rId141" Type="http://schemas.openxmlformats.org/officeDocument/2006/relationships/oleObject" Target="embeddings/oleObject73.bin"/><Relationship Id="rId146" Type="http://schemas.openxmlformats.org/officeDocument/2006/relationships/oleObject" Target="embeddings/oleObject76.bin"/><Relationship Id="rId167" Type="http://schemas.openxmlformats.org/officeDocument/2006/relationships/image" Target="media/image71.wmf"/><Relationship Id="rId188" Type="http://schemas.openxmlformats.org/officeDocument/2006/relationships/theme" Target="theme/theme1.xml"/><Relationship Id="rId7" Type="http://schemas.openxmlformats.org/officeDocument/2006/relationships/image" Target="media/image1.wmf"/><Relationship Id="rId71" Type="http://schemas.openxmlformats.org/officeDocument/2006/relationships/image" Target="media/image32.wmf"/><Relationship Id="rId92" Type="http://schemas.openxmlformats.org/officeDocument/2006/relationships/oleObject" Target="embeddings/oleObject44.bin"/><Relationship Id="rId162" Type="http://schemas.openxmlformats.org/officeDocument/2006/relationships/oleObject" Target="embeddings/oleObject85.bin"/><Relationship Id="rId183" Type="http://schemas.openxmlformats.org/officeDocument/2006/relationships/header" Target="header1.xml"/><Relationship Id="rId2" Type="http://schemas.openxmlformats.org/officeDocument/2006/relationships/styles" Target="styles.xml"/><Relationship Id="rId29" Type="http://schemas.openxmlformats.org/officeDocument/2006/relationships/image" Target="media/image11.wmf"/><Relationship Id="rId24" Type="http://schemas.openxmlformats.org/officeDocument/2006/relationships/oleObject" Target="embeddings/oleObject10.bin"/><Relationship Id="rId40" Type="http://schemas.openxmlformats.org/officeDocument/2006/relationships/oleObject" Target="embeddings/oleObject18.bin"/><Relationship Id="rId45" Type="http://schemas.openxmlformats.org/officeDocument/2006/relationships/image" Target="media/image19.wmf"/><Relationship Id="rId66" Type="http://schemas.openxmlformats.org/officeDocument/2006/relationships/oleObject" Target="embeddings/oleObject31.bin"/><Relationship Id="rId87" Type="http://schemas.openxmlformats.org/officeDocument/2006/relationships/image" Target="media/image40.wmf"/><Relationship Id="rId110" Type="http://schemas.openxmlformats.org/officeDocument/2006/relationships/oleObject" Target="embeddings/oleObject51.bin"/><Relationship Id="rId115" Type="http://schemas.openxmlformats.org/officeDocument/2006/relationships/oleObject" Target="embeddings/oleObject55.bin"/><Relationship Id="rId131" Type="http://schemas.openxmlformats.org/officeDocument/2006/relationships/image" Target="media/image58.wmf"/><Relationship Id="rId136" Type="http://schemas.openxmlformats.org/officeDocument/2006/relationships/oleObject" Target="embeddings/oleObject69.bin"/><Relationship Id="rId157" Type="http://schemas.openxmlformats.org/officeDocument/2006/relationships/image" Target="media/image66.wmf"/><Relationship Id="rId178" Type="http://schemas.openxmlformats.org/officeDocument/2006/relationships/oleObject" Target="embeddings/oleObject94.bin"/><Relationship Id="rId61" Type="http://schemas.openxmlformats.org/officeDocument/2006/relationships/image" Target="media/image27.wmf"/><Relationship Id="rId82" Type="http://schemas.openxmlformats.org/officeDocument/2006/relationships/oleObject" Target="embeddings/oleObject39.bin"/><Relationship Id="rId152" Type="http://schemas.openxmlformats.org/officeDocument/2006/relationships/oleObject" Target="embeddings/oleObject80.bin"/><Relationship Id="rId173" Type="http://schemas.openxmlformats.org/officeDocument/2006/relationships/oleObject" Target="embeddings/oleObject91.bin"/><Relationship Id="rId19" Type="http://schemas.openxmlformats.org/officeDocument/2006/relationships/image" Target="media/image6.wmf"/><Relationship Id="rId14" Type="http://schemas.openxmlformats.org/officeDocument/2006/relationships/oleObject" Target="embeddings/oleObject5.bin"/><Relationship Id="rId30" Type="http://schemas.openxmlformats.org/officeDocument/2006/relationships/oleObject" Target="embeddings/oleObject13.bin"/><Relationship Id="rId35" Type="http://schemas.openxmlformats.org/officeDocument/2006/relationships/image" Target="media/image14.wmf"/><Relationship Id="rId56" Type="http://schemas.openxmlformats.org/officeDocument/2006/relationships/oleObject" Target="embeddings/oleObject26.bin"/><Relationship Id="rId77" Type="http://schemas.openxmlformats.org/officeDocument/2006/relationships/image" Target="media/image35.wmf"/><Relationship Id="rId100" Type="http://schemas.openxmlformats.org/officeDocument/2006/relationships/oleObject" Target="embeddings/oleObject48.bin"/><Relationship Id="rId105" Type="http://schemas.openxmlformats.org/officeDocument/2006/relationships/image" Target="media/image49.wmf"/><Relationship Id="rId126" Type="http://schemas.openxmlformats.org/officeDocument/2006/relationships/oleObject" Target="embeddings/oleObject62.bin"/><Relationship Id="rId147" Type="http://schemas.openxmlformats.org/officeDocument/2006/relationships/oleObject" Target="embeddings/oleObject77.bin"/><Relationship Id="rId168" Type="http://schemas.openxmlformats.org/officeDocument/2006/relationships/oleObject" Target="embeddings/oleObject88.bin"/><Relationship Id="rId8" Type="http://schemas.openxmlformats.org/officeDocument/2006/relationships/oleObject" Target="embeddings/oleObject1.bin"/><Relationship Id="rId51" Type="http://schemas.openxmlformats.org/officeDocument/2006/relationships/image" Target="media/image22.wmf"/><Relationship Id="rId72" Type="http://schemas.openxmlformats.org/officeDocument/2006/relationships/oleObject" Target="embeddings/oleObject34.bin"/><Relationship Id="rId93" Type="http://schemas.openxmlformats.org/officeDocument/2006/relationships/image" Target="media/image43.wmf"/><Relationship Id="rId98" Type="http://schemas.openxmlformats.org/officeDocument/2006/relationships/oleObject" Target="embeddings/oleObject47.bin"/><Relationship Id="rId121" Type="http://schemas.openxmlformats.org/officeDocument/2006/relationships/oleObject" Target="embeddings/oleObject58.bin"/><Relationship Id="rId142" Type="http://schemas.openxmlformats.org/officeDocument/2006/relationships/image" Target="media/image60.wmf"/><Relationship Id="rId163" Type="http://schemas.openxmlformats.org/officeDocument/2006/relationships/image" Target="media/image69.wmf"/><Relationship Id="rId184" Type="http://schemas.openxmlformats.org/officeDocument/2006/relationships/footer" Target="footer1.xml"/><Relationship Id="rId3" Type="http://schemas.openxmlformats.org/officeDocument/2006/relationships/settings" Target="settings.xml"/><Relationship Id="rId25" Type="http://schemas.openxmlformats.org/officeDocument/2006/relationships/image" Target="media/image9.wmf"/><Relationship Id="rId46" Type="http://schemas.openxmlformats.org/officeDocument/2006/relationships/oleObject" Target="embeddings/oleObject21.bin"/><Relationship Id="rId67" Type="http://schemas.openxmlformats.org/officeDocument/2006/relationships/image" Target="media/image30.wmf"/><Relationship Id="rId116" Type="http://schemas.openxmlformats.org/officeDocument/2006/relationships/image" Target="media/image52.wmf"/><Relationship Id="rId137" Type="http://schemas.openxmlformats.org/officeDocument/2006/relationships/oleObject" Target="embeddings/oleObject70.bin"/><Relationship Id="rId158" Type="http://schemas.openxmlformats.org/officeDocument/2006/relationships/oleObject" Target="embeddings/oleObject83.bin"/><Relationship Id="rId20" Type="http://schemas.openxmlformats.org/officeDocument/2006/relationships/oleObject" Target="embeddings/oleObject8.bin"/><Relationship Id="rId41" Type="http://schemas.openxmlformats.org/officeDocument/2006/relationships/image" Target="media/image17.wmf"/><Relationship Id="rId62" Type="http://schemas.openxmlformats.org/officeDocument/2006/relationships/oleObject" Target="embeddings/oleObject29.bin"/><Relationship Id="rId83" Type="http://schemas.openxmlformats.org/officeDocument/2006/relationships/image" Target="media/image38.wmf"/><Relationship Id="rId88" Type="http://schemas.openxmlformats.org/officeDocument/2006/relationships/oleObject" Target="embeddings/oleObject42.bin"/><Relationship Id="rId111" Type="http://schemas.openxmlformats.org/officeDocument/2006/relationships/oleObject" Target="embeddings/oleObject52.bin"/><Relationship Id="rId132" Type="http://schemas.openxmlformats.org/officeDocument/2006/relationships/oleObject" Target="embeddings/oleObject65.bin"/><Relationship Id="rId153" Type="http://schemas.openxmlformats.org/officeDocument/2006/relationships/image" Target="media/image64.wmf"/><Relationship Id="rId174" Type="http://schemas.openxmlformats.org/officeDocument/2006/relationships/image" Target="media/image74.wmf"/><Relationship Id="rId179" Type="http://schemas.openxmlformats.org/officeDocument/2006/relationships/image" Target="media/image76.wmf"/><Relationship Id="rId15" Type="http://schemas.openxmlformats.org/officeDocument/2006/relationships/image" Target="media/image4.wmf"/><Relationship Id="rId36" Type="http://schemas.openxmlformats.org/officeDocument/2006/relationships/oleObject" Target="embeddings/oleObject16.bin"/><Relationship Id="rId57" Type="http://schemas.openxmlformats.org/officeDocument/2006/relationships/image" Target="media/image25.wmf"/><Relationship Id="rId106" Type="http://schemas.openxmlformats.org/officeDocument/2006/relationships/oleObject" Target="embeddings/Microsoft_Office_Excel_97-2003_Worksheet2.xls"/><Relationship Id="rId127" Type="http://schemas.openxmlformats.org/officeDocument/2006/relationships/image" Target="media/image56.wmf"/><Relationship Id="rId10" Type="http://schemas.openxmlformats.org/officeDocument/2006/relationships/oleObject" Target="embeddings/oleObject2.bin"/><Relationship Id="rId31" Type="http://schemas.openxmlformats.org/officeDocument/2006/relationships/image" Target="media/image12.wmf"/><Relationship Id="rId52" Type="http://schemas.openxmlformats.org/officeDocument/2006/relationships/oleObject" Target="embeddings/oleObject24.bin"/><Relationship Id="rId73" Type="http://schemas.openxmlformats.org/officeDocument/2006/relationships/image" Target="media/image33.wmf"/><Relationship Id="rId78" Type="http://schemas.openxmlformats.org/officeDocument/2006/relationships/oleObject" Target="embeddings/oleObject37.bin"/><Relationship Id="rId94" Type="http://schemas.openxmlformats.org/officeDocument/2006/relationships/oleObject" Target="embeddings/oleObject45.bin"/><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image" Target="media/image55.wmf"/><Relationship Id="rId143" Type="http://schemas.openxmlformats.org/officeDocument/2006/relationships/oleObject" Target="embeddings/oleObject74.bin"/><Relationship Id="rId148" Type="http://schemas.openxmlformats.org/officeDocument/2006/relationships/oleObject" Target="embeddings/oleObject78.bin"/><Relationship Id="rId164" Type="http://schemas.openxmlformats.org/officeDocument/2006/relationships/oleObject" Target="embeddings/oleObject86.bin"/><Relationship Id="rId169" Type="http://schemas.openxmlformats.org/officeDocument/2006/relationships/oleObject" Target="embeddings/oleObject89.bin"/><Relationship Id="rId185"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oleObject" Target="embeddings/oleObject9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6430</Words>
  <Characters>36657</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1</vt:lpstr>
    </vt:vector>
  </TitlesOfParts>
  <Company>navsea 04xq</Company>
  <LinksUpToDate>false</LinksUpToDate>
  <CharactersWithSpaces>43001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William Ingersoll</dc:creator>
  <cp:lastModifiedBy>Work</cp:lastModifiedBy>
  <cp:revision>2</cp:revision>
  <cp:lastPrinted>2002-09-11T05:12:00Z</cp:lastPrinted>
  <dcterms:created xsi:type="dcterms:W3CDTF">2023-04-05T09:56:00Z</dcterms:created>
  <dcterms:modified xsi:type="dcterms:W3CDTF">2023-04-05T09:56:00Z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-943073155</vt:i4>
  </property>
  <property fmtid="{D5CDD505-2E9C-101B-9397-08002B2CF9AE}" pid="3" name="_EmailSubject">
    <vt:lpwstr>RS-VSP and Triad</vt:lpwstr>
  </property>
  <property fmtid="{D5CDD505-2E9C-101B-9397-08002B2CF9AE}" pid="4" name="_AuthorEmail">
    <vt:lpwstr>IngersollWS@NAVSEA.NAVY.MIL</vt:lpwstr>
  </property>
  <property fmtid="{D5CDD505-2E9C-101B-9397-08002B2CF9AE}" pid="5" name="_AuthorEmailDisplayName">
    <vt:lpwstr>Ingersoll William S NSSC</vt:lpwstr>
  </property>
  <property fmtid="{D5CDD505-2E9C-101B-9397-08002B2CF9AE}" pid="6" name="_ReviewingToolsShownOnce">
    <vt:lpwstr/>
  </property>
</Properties>
</file>