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07" w:rsidRDefault="005D1407">
      <w:pPr>
        <w:rPr>
          <w:sz w:val="24"/>
          <w:szCs w:val="24"/>
        </w:rPr>
      </w:pPr>
    </w:p>
    <w:p w:rsidR="003D637E" w:rsidRPr="005D1407" w:rsidRDefault="00B20E03" w:rsidP="005D1407">
      <w:pPr>
        <w:jc w:val="center"/>
        <w:rPr>
          <w:b/>
          <w:sz w:val="28"/>
          <w:szCs w:val="24"/>
        </w:rPr>
      </w:pPr>
      <w:r w:rsidRPr="005D1407">
        <w:rPr>
          <w:b/>
          <w:sz w:val="28"/>
          <w:szCs w:val="24"/>
        </w:rPr>
        <w:t>HAZARD VULNERABILITY ASSESSMENT</w:t>
      </w:r>
    </w:p>
    <w:p w:rsidR="00E03BB1" w:rsidRPr="00487150" w:rsidRDefault="002B4143">
      <w:pPr>
        <w:rPr>
          <w:sz w:val="24"/>
          <w:szCs w:val="24"/>
          <w:shd w:val="clear" w:color="auto" w:fill="FFFFFF"/>
        </w:rPr>
      </w:pPr>
      <w:r w:rsidRPr="00487150">
        <w:rPr>
          <w:sz w:val="24"/>
          <w:szCs w:val="24"/>
          <w:shd w:val="clear" w:color="auto" w:fill="FFFFFF"/>
        </w:rPr>
        <w:t xml:space="preserve">Hazard identification and risk assessment provides </w:t>
      </w:r>
      <w:r w:rsidR="00E03BB1" w:rsidRPr="00487150">
        <w:rPr>
          <w:sz w:val="24"/>
          <w:szCs w:val="24"/>
          <w:shd w:val="clear" w:color="auto" w:fill="FFFFFF"/>
        </w:rPr>
        <w:t xml:space="preserve">a step by step, </w:t>
      </w:r>
      <w:r w:rsidRPr="00487150">
        <w:rPr>
          <w:sz w:val="24"/>
          <w:szCs w:val="24"/>
          <w:shd w:val="clear" w:color="auto" w:fill="FFFFFF"/>
        </w:rPr>
        <w:t xml:space="preserve">factual basis for activities proposed in the </w:t>
      </w:r>
      <w:r w:rsidR="00E03BB1" w:rsidRPr="00487150">
        <w:rPr>
          <w:sz w:val="24"/>
          <w:szCs w:val="24"/>
          <w:shd w:val="clear" w:color="auto" w:fill="FFFFFF"/>
        </w:rPr>
        <w:t>identification of risks and strategies for</w:t>
      </w:r>
      <w:r w:rsidRPr="00487150">
        <w:rPr>
          <w:sz w:val="24"/>
          <w:szCs w:val="24"/>
          <w:shd w:val="clear" w:color="auto" w:fill="FFFFFF"/>
        </w:rPr>
        <w:t xml:space="preserve"> hazard mitigation</w:t>
      </w:r>
      <w:r w:rsidR="00E03BB1" w:rsidRPr="00487150">
        <w:rPr>
          <w:sz w:val="24"/>
          <w:szCs w:val="24"/>
          <w:shd w:val="clear" w:color="auto" w:fill="FFFFFF"/>
        </w:rPr>
        <w:t>.  Hazard vulnerability analysis (HVA) and risk assessment are systematic approaches to identifying hazards or risks that are most likely to have an impact on a healthcare facility and the surrounding community.</w:t>
      </w:r>
    </w:p>
    <w:p w:rsidR="00E03BB1" w:rsidRPr="00487150" w:rsidRDefault="002B4143">
      <w:pPr>
        <w:rPr>
          <w:sz w:val="24"/>
          <w:szCs w:val="24"/>
          <w:shd w:val="clear" w:color="auto" w:fill="FFFFFF"/>
        </w:rPr>
      </w:pPr>
      <w:r w:rsidRPr="00487150">
        <w:rPr>
          <w:sz w:val="24"/>
          <w:szCs w:val="24"/>
          <w:shd w:val="clear" w:color="auto" w:fill="FFFFFF"/>
        </w:rPr>
        <w:t xml:space="preserve">An effective risk assessment informs proposed actions by focusing attention and resources on the greatest risks. The four basic components of a risk assessment are: </w:t>
      </w:r>
    </w:p>
    <w:p w:rsidR="00F03129" w:rsidRPr="00487150" w:rsidRDefault="00E03BB1" w:rsidP="00F031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487150">
        <w:rPr>
          <w:sz w:val="24"/>
          <w:szCs w:val="24"/>
          <w:shd w:val="clear" w:color="auto" w:fill="FFFFFF"/>
        </w:rPr>
        <w:t>Hazard identification</w:t>
      </w:r>
    </w:p>
    <w:p w:rsidR="00F03129" w:rsidRPr="00487150" w:rsidRDefault="00E03BB1" w:rsidP="00F031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487150">
        <w:rPr>
          <w:sz w:val="24"/>
          <w:szCs w:val="24"/>
          <w:shd w:val="clear" w:color="auto" w:fill="FFFFFF"/>
        </w:rPr>
        <w:t>P</w:t>
      </w:r>
      <w:r w:rsidR="00F03129" w:rsidRPr="00487150">
        <w:rPr>
          <w:sz w:val="24"/>
          <w:szCs w:val="24"/>
          <w:shd w:val="clear" w:color="auto" w:fill="FFFFFF"/>
        </w:rPr>
        <w:t>rofiling of hazard events I</w:t>
      </w:r>
      <w:r w:rsidR="002B4143" w:rsidRPr="00487150">
        <w:rPr>
          <w:sz w:val="24"/>
          <w:szCs w:val="24"/>
          <w:shd w:val="clear" w:color="auto" w:fill="FFFFFF"/>
        </w:rPr>
        <w:t>nventory of assets</w:t>
      </w:r>
    </w:p>
    <w:p w:rsidR="00B20E03" w:rsidRPr="00487150" w:rsidRDefault="00F03129" w:rsidP="00F0312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487150">
        <w:rPr>
          <w:sz w:val="24"/>
          <w:szCs w:val="24"/>
          <w:shd w:val="clear" w:color="auto" w:fill="FFFFFF"/>
        </w:rPr>
        <w:t>E</w:t>
      </w:r>
      <w:r w:rsidR="002B4143" w:rsidRPr="00487150">
        <w:rPr>
          <w:sz w:val="24"/>
          <w:szCs w:val="24"/>
          <w:shd w:val="clear" w:color="auto" w:fill="FFFFFF"/>
        </w:rPr>
        <w:t xml:space="preserve">stimation of potential human and economic losses based on the exposure and vulnerability of people, buildings, and infrastructure. </w:t>
      </w:r>
    </w:p>
    <w:p w:rsidR="00262108" w:rsidRPr="00487150" w:rsidRDefault="00262108">
      <w:pPr>
        <w:rPr>
          <w:color w:val="000000"/>
          <w:sz w:val="24"/>
          <w:szCs w:val="24"/>
          <w:shd w:val="clear" w:color="auto" w:fill="FFFFFF"/>
        </w:rPr>
      </w:pPr>
    </w:p>
    <w:p w:rsidR="00487150" w:rsidRPr="005D1407" w:rsidRDefault="00F03129" w:rsidP="00F03129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 xml:space="preserve">There are multiple tools (HVA’s) and resources </w:t>
      </w:r>
      <w:r w:rsidR="00262108" w:rsidRPr="00487150">
        <w:rPr>
          <w:color w:val="333333"/>
          <w:sz w:val="24"/>
          <w:szCs w:val="24"/>
          <w:shd w:val="clear" w:color="auto" w:fill="FFFFFF"/>
        </w:rPr>
        <w:t xml:space="preserve">available to help </w:t>
      </w:r>
      <w:r w:rsidRPr="00487150">
        <w:rPr>
          <w:color w:val="333333"/>
          <w:sz w:val="24"/>
          <w:szCs w:val="24"/>
          <w:shd w:val="clear" w:color="auto" w:fill="FFFFFF"/>
        </w:rPr>
        <w:t>facilities</w:t>
      </w:r>
      <w:r w:rsidR="00262108" w:rsidRPr="00487150">
        <w:rPr>
          <w:color w:val="333333"/>
          <w:sz w:val="24"/>
          <w:szCs w:val="24"/>
          <w:shd w:val="clear" w:color="auto" w:fill="FFFFFF"/>
        </w:rPr>
        <w:t xml:space="preserve"> prioritize their planning efforts based on these identified hazards. </w:t>
      </w:r>
      <w:r w:rsidRPr="00487150">
        <w:rPr>
          <w:color w:val="333333"/>
          <w:sz w:val="24"/>
          <w:szCs w:val="24"/>
          <w:shd w:val="clear" w:color="auto" w:fill="FFFFFF"/>
        </w:rPr>
        <w:t xml:space="preserve">Each state, through their Emergency Preparedness Coalition has tools, resources and training available for health care organizations.  </w:t>
      </w:r>
    </w:p>
    <w:p w:rsidR="00F03129" w:rsidRPr="00487150" w:rsidRDefault="00F03129" w:rsidP="00F03129">
      <w:pPr>
        <w:rPr>
          <w:b/>
          <w:sz w:val="24"/>
          <w:szCs w:val="24"/>
        </w:rPr>
      </w:pPr>
      <w:r w:rsidRPr="00487150">
        <w:rPr>
          <w:b/>
          <w:sz w:val="24"/>
          <w:szCs w:val="24"/>
        </w:rPr>
        <w:t xml:space="preserve">Hazard Vulnerability Analysis Tool Examples </w:t>
      </w:r>
    </w:p>
    <w:p w:rsidR="00F03129" w:rsidRPr="00487150" w:rsidRDefault="00F03129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sz w:val="24"/>
          <w:szCs w:val="24"/>
        </w:rPr>
        <w:t xml:space="preserve">Kaiser Permanente has developed a Hazard Vulnerability Analysis tool which is available as a downloadable planning resource.  Organizations using this tool are solely responsible for any hazard assessment, compliance with applicable regulations and laws as well as facility identification of hazards and vulnerabilities.     </w:t>
      </w:r>
      <w:r w:rsidRPr="00487150">
        <w:rPr>
          <w:color w:val="333333"/>
          <w:sz w:val="24"/>
          <w:szCs w:val="24"/>
          <w:shd w:val="clear" w:color="auto" w:fill="FFFFFF"/>
        </w:rPr>
        <w:t xml:space="preserve">This tool It can be accessed at: </w:t>
      </w:r>
    </w:p>
    <w:p w:rsidR="00F03129" w:rsidRPr="00487150" w:rsidRDefault="00F03129" w:rsidP="00F03129">
      <w:pPr>
        <w:spacing w:after="0" w:line="240" w:lineRule="auto"/>
        <w:ind w:firstLine="720"/>
        <w:rPr>
          <w:b/>
          <w:sz w:val="24"/>
          <w:szCs w:val="24"/>
        </w:rPr>
      </w:pPr>
      <w:r w:rsidRPr="00487150">
        <w:rPr>
          <w:b/>
          <w:sz w:val="24"/>
          <w:szCs w:val="24"/>
        </w:rPr>
        <w:t xml:space="preserve">The U.S. Department of Health &amp; Human Services at </w:t>
      </w:r>
    </w:p>
    <w:p w:rsidR="00F03129" w:rsidRPr="00487150" w:rsidRDefault="005D1407" w:rsidP="00F03129">
      <w:pPr>
        <w:spacing w:after="0" w:line="240" w:lineRule="auto"/>
        <w:ind w:left="720"/>
        <w:rPr>
          <w:sz w:val="24"/>
          <w:szCs w:val="24"/>
        </w:rPr>
      </w:pPr>
      <w:hyperlink r:id="rId7" w:history="1">
        <w:r w:rsidR="00F03129" w:rsidRPr="00487150">
          <w:rPr>
            <w:rStyle w:val="Hyperlink"/>
            <w:sz w:val="24"/>
            <w:szCs w:val="24"/>
          </w:rPr>
          <w:t>https://asprtracie.hhs.gov/technical-resources/resource/250/kaiser-permanente-hazard-vulnerability-analysis-hva-tool</w:t>
        </w:r>
      </w:hyperlink>
      <w:r w:rsidR="00F03129" w:rsidRPr="00487150">
        <w:rPr>
          <w:sz w:val="24"/>
          <w:szCs w:val="24"/>
        </w:rPr>
        <w:t xml:space="preserve"> </w:t>
      </w:r>
    </w:p>
    <w:p w:rsidR="00F03129" w:rsidRPr="00487150" w:rsidRDefault="00F03129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5D1407" w:rsidRDefault="005D1407">
      <w:pPr>
        <w:rPr>
          <w:color w:val="333333"/>
          <w:sz w:val="24"/>
          <w:szCs w:val="24"/>
          <w:shd w:val="clear" w:color="auto" w:fill="FFFFFF"/>
        </w:rPr>
      </w:pPr>
    </w:p>
    <w:p w:rsidR="00487150" w:rsidRPr="00487150" w:rsidRDefault="00487150">
      <w:pPr>
        <w:rPr>
          <w:sz w:val="24"/>
          <w:szCs w:val="24"/>
        </w:rPr>
      </w:pPr>
      <w:r w:rsidRPr="00487150">
        <w:rPr>
          <w:color w:val="333333"/>
          <w:sz w:val="24"/>
          <w:szCs w:val="24"/>
          <w:shd w:val="clear" w:color="auto" w:fill="FFFFFF"/>
        </w:rPr>
        <w:t xml:space="preserve">The </w:t>
      </w:r>
      <w:r w:rsidRPr="00487150">
        <w:rPr>
          <w:sz w:val="24"/>
          <w:szCs w:val="24"/>
        </w:rPr>
        <w:t xml:space="preserve">Kaiser Permanente </w:t>
      </w:r>
      <w:proofErr w:type="spellStart"/>
      <w:r w:rsidRPr="00487150">
        <w:rPr>
          <w:sz w:val="24"/>
          <w:szCs w:val="24"/>
        </w:rPr>
        <w:t>HVA</w:t>
      </w:r>
      <w:proofErr w:type="spellEnd"/>
      <w:r w:rsidRPr="00487150">
        <w:rPr>
          <w:sz w:val="24"/>
          <w:szCs w:val="24"/>
        </w:rPr>
        <w:t xml:space="preserve"> tool, depicted below, is downloadable and customizable for your individual organization’s needs.</w:t>
      </w:r>
    </w:p>
    <w:p w:rsidR="00487150" w:rsidRPr="00487150" w:rsidRDefault="00487150" w:rsidP="00487150">
      <w:pPr>
        <w:rPr>
          <w:sz w:val="24"/>
          <w:szCs w:val="24"/>
        </w:rPr>
      </w:pPr>
      <w:r w:rsidRPr="00487150">
        <w:rPr>
          <w:sz w:val="24"/>
          <w:szCs w:val="24"/>
        </w:rPr>
        <w:t>1.  Fill in facility specific information</w:t>
      </w:r>
    </w:p>
    <w:p w:rsidR="00487150" w:rsidRPr="00487150" w:rsidRDefault="00487150" w:rsidP="00487150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487150">
        <w:rPr>
          <w:noProof/>
          <w:sz w:val="24"/>
          <w:szCs w:val="24"/>
        </w:rPr>
        <w:drawing>
          <wp:inline distT="0" distB="0" distL="0" distR="0" wp14:anchorId="02C9851D" wp14:editId="08045CB7">
            <wp:extent cx="3476100" cy="1416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135" cy="14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29" w:rsidRPr="00487150" w:rsidRDefault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2.  Conduct your analysis with your team and complete the data collection section – including the type of hazard, impact, probability, response and risk level.</w:t>
      </w:r>
    </w:p>
    <w:p w:rsidR="00487150" w:rsidRPr="00487150" w:rsidRDefault="00487150" w:rsidP="00487150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487150">
        <w:rPr>
          <w:noProof/>
          <w:sz w:val="24"/>
          <w:szCs w:val="24"/>
        </w:rPr>
        <w:drawing>
          <wp:inline distT="0" distB="0" distL="0" distR="0" wp14:anchorId="2AA7402C" wp14:editId="6D55A0DA">
            <wp:extent cx="3238500" cy="2428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936" cy="243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50" w:rsidRPr="00487150" w:rsidRDefault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3.  Summarizes your individual facility information, identifying the specific trends as required.</w:t>
      </w:r>
    </w:p>
    <w:p w:rsidR="00487150" w:rsidRPr="00487150" w:rsidRDefault="00487150" w:rsidP="00487150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487150">
        <w:rPr>
          <w:noProof/>
          <w:sz w:val="24"/>
          <w:szCs w:val="24"/>
        </w:rPr>
        <w:drawing>
          <wp:inline distT="0" distB="0" distL="0" distR="0" wp14:anchorId="35AC06BB" wp14:editId="238B08D4">
            <wp:extent cx="2914377" cy="192734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8777" cy="195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50" w:rsidRPr="00487150" w:rsidRDefault="00487150">
      <w:pPr>
        <w:rPr>
          <w:color w:val="333333"/>
          <w:sz w:val="24"/>
          <w:szCs w:val="24"/>
          <w:shd w:val="clear" w:color="auto" w:fill="FFFFFF"/>
        </w:rPr>
      </w:pPr>
    </w:p>
    <w:p w:rsidR="00487150" w:rsidRPr="00487150" w:rsidRDefault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4.  Should an incident occur, it provides a log to document your organization’s response and correlates back to your HVA analysis.</w:t>
      </w:r>
    </w:p>
    <w:p w:rsidR="00487150" w:rsidRPr="00487150" w:rsidRDefault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noProof/>
          <w:sz w:val="24"/>
          <w:szCs w:val="24"/>
        </w:rPr>
        <w:drawing>
          <wp:inline distT="0" distB="0" distL="0" distR="0" wp14:anchorId="732C8315" wp14:editId="0DADB0FF">
            <wp:extent cx="5943600" cy="915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50" w:rsidRPr="00487150" w:rsidRDefault="00487150" w:rsidP="00487150">
      <w:pPr>
        <w:rPr>
          <w:b/>
          <w:color w:val="333333"/>
          <w:sz w:val="24"/>
          <w:szCs w:val="24"/>
          <w:shd w:val="clear" w:color="auto" w:fill="FFFFFF"/>
        </w:rPr>
      </w:pPr>
      <w:r w:rsidRPr="00487150">
        <w:rPr>
          <w:b/>
          <w:color w:val="333333"/>
          <w:sz w:val="24"/>
          <w:szCs w:val="24"/>
          <w:shd w:val="clear" w:color="auto" w:fill="FFFFFF"/>
        </w:rPr>
        <w:t>ACCESS STATE AND LOCAL SPECIFIC RESOURCES</w:t>
      </w:r>
    </w:p>
    <w:p w:rsidR="00487150" w:rsidRPr="00487150" w:rsidRDefault="00487150" w:rsidP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All State Health Care Coalition Listing</w:t>
      </w:r>
    </w:p>
    <w:p w:rsidR="00487150" w:rsidRPr="00487150" w:rsidRDefault="005D1407" w:rsidP="00487150">
      <w:pPr>
        <w:ind w:left="720"/>
        <w:rPr>
          <w:color w:val="333333"/>
          <w:sz w:val="24"/>
          <w:szCs w:val="24"/>
          <w:shd w:val="clear" w:color="auto" w:fill="FFFFFF"/>
        </w:rPr>
      </w:pPr>
      <w:hyperlink r:id="rId12" w:history="1">
        <w:r w:rsidR="00487150" w:rsidRPr="00487150">
          <w:rPr>
            <w:rStyle w:val="Hyperlink"/>
            <w:sz w:val="24"/>
            <w:szCs w:val="24"/>
            <w:shd w:val="clear" w:color="auto" w:fill="FFFFFF"/>
          </w:rPr>
          <w:t>https://www.cms.gov/Medicare/Provider-Enrollment-and-Certification/SurveyCertEmergPrep/Downloads/By-Name-by-State-Healthcare-Coalitions.pdf</w:t>
        </w:r>
      </w:hyperlink>
      <w:r w:rsidR="00487150" w:rsidRPr="0048715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487150" w:rsidRPr="00487150" w:rsidRDefault="00487150">
      <w:pPr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Additional Resources related to HVA</w:t>
      </w:r>
    </w:p>
    <w:p w:rsidR="00262108" w:rsidRPr="00487150" w:rsidRDefault="00262108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U.S. Department of Health &amp; Human Services</w:t>
      </w:r>
      <w:r w:rsidR="00487150" w:rsidRPr="00487150">
        <w:rPr>
          <w:color w:val="333333"/>
          <w:sz w:val="24"/>
          <w:szCs w:val="24"/>
          <w:shd w:val="clear" w:color="auto" w:fill="FFFFFF"/>
        </w:rPr>
        <w:t xml:space="preserve"> – Emergency Response </w:t>
      </w:r>
      <w:r w:rsidRPr="0048715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262108" w:rsidRPr="00487150" w:rsidRDefault="005D1407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  <w:hyperlink r:id="rId13" w:history="1">
        <w:r w:rsidR="00262108" w:rsidRPr="00487150">
          <w:rPr>
            <w:rStyle w:val="Hyperlink"/>
            <w:sz w:val="24"/>
            <w:szCs w:val="24"/>
            <w:shd w:val="clear" w:color="auto" w:fill="FFFFFF"/>
          </w:rPr>
          <w:t>https://asprtracie.hhs.gov/technical-resources</w:t>
        </w:r>
      </w:hyperlink>
      <w:r w:rsidR="00262108" w:rsidRPr="0048715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E03BB1" w:rsidRPr="00487150" w:rsidRDefault="00E03BB1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</w:p>
    <w:p w:rsidR="00E03BB1" w:rsidRPr="00487150" w:rsidRDefault="00E03BB1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>Long Term Care HVA Resources</w:t>
      </w:r>
    </w:p>
    <w:p w:rsidR="00E03BB1" w:rsidRPr="00487150" w:rsidRDefault="00E03BB1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  <w:r w:rsidRPr="00487150">
        <w:rPr>
          <w:color w:val="333333"/>
          <w:sz w:val="24"/>
          <w:szCs w:val="24"/>
          <w:shd w:val="clear" w:color="auto" w:fill="FFFFFF"/>
        </w:rPr>
        <w:t xml:space="preserve">Department of Health and Human Services </w:t>
      </w:r>
    </w:p>
    <w:p w:rsidR="00E03BB1" w:rsidRPr="00487150" w:rsidRDefault="005D1407" w:rsidP="00487150">
      <w:pPr>
        <w:spacing w:after="0" w:line="240" w:lineRule="auto"/>
        <w:ind w:left="720"/>
        <w:rPr>
          <w:color w:val="333333"/>
          <w:sz w:val="24"/>
          <w:szCs w:val="24"/>
          <w:shd w:val="clear" w:color="auto" w:fill="FFFFFF"/>
        </w:rPr>
      </w:pPr>
      <w:hyperlink r:id="rId14" w:history="1">
        <w:r w:rsidR="00E03BB1" w:rsidRPr="00487150">
          <w:rPr>
            <w:rStyle w:val="Hyperlink"/>
            <w:sz w:val="24"/>
            <w:szCs w:val="24"/>
            <w:shd w:val="clear" w:color="auto" w:fill="FFFFFF"/>
          </w:rPr>
          <w:t>https://asprtracie.hhs.gov/technical-resources/52/long-term-care-facilities/47</w:t>
        </w:r>
      </w:hyperlink>
      <w:r w:rsidR="00E03BB1" w:rsidRPr="00487150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E03BB1" w:rsidRDefault="00E03BB1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03BB1" w:rsidRDefault="00E03BB1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F03129" w:rsidRDefault="00F03129" w:rsidP="002B4143">
      <w:pPr>
        <w:pStyle w:val="NormalWeb"/>
        <w:shd w:val="clear" w:color="auto" w:fill="FFFFFF"/>
        <w:spacing w:before="150" w:beforeAutospacing="0" w:after="150" w:afterAutospacing="0"/>
        <w:rPr>
          <w:rFonts w:ascii="san-serif" w:hAnsi="san-serif"/>
          <w:color w:val="444444"/>
          <w:sz w:val="21"/>
          <w:szCs w:val="21"/>
        </w:rPr>
      </w:pPr>
    </w:p>
    <w:p w:rsidR="00E03BB1" w:rsidRDefault="00E03BB1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03BB1" w:rsidRDefault="00E03BB1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03BB1" w:rsidRDefault="00E03BB1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E03BB1" w:rsidSect="006B3D1B">
      <w:headerReference w:type="default" r:id="rId15"/>
      <w:footerReference w:type="default" r:id="rId16"/>
      <w:pgSz w:w="12240" w:h="15840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21" w:rsidRDefault="00053321" w:rsidP="00041B40">
      <w:pPr>
        <w:spacing w:after="0" w:line="240" w:lineRule="auto"/>
      </w:pPr>
      <w:r>
        <w:separator/>
      </w:r>
    </w:p>
  </w:endnote>
  <w:endnote w:type="continuationSeparator" w:id="0">
    <w:p w:rsidR="00053321" w:rsidRDefault="00053321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-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  <w:r w:rsidR="006B3D1B">
      <w:rPr>
        <w:rFonts w:ascii="Calibri" w:eastAsia="Calibri" w:hAnsi="Calibri"/>
        <w:sz w:val="16"/>
        <w:szCs w:val="16"/>
      </w:rPr>
      <w:t>–</w:t>
    </w:r>
    <w:r w:rsidRPr="00185739">
      <w:rPr>
        <w:rFonts w:ascii="Calibri" w:eastAsia="Calibri" w:hAnsi="Calibri"/>
        <w:sz w:val="16"/>
        <w:szCs w:val="16"/>
      </w:rPr>
      <w:t xml:space="preserve"> </w:t>
    </w:r>
    <w:r w:rsidR="006B3D1B">
      <w:rPr>
        <w:rFonts w:ascii="Calibri" w:eastAsia="Calibri" w:hAnsi="Calibri"/>
        <w:sz w:val="16"/>
        <w:szCs w:val="16"/>
      </w:rPr>
      <w:t xml:space="preserve">The </w:t>
    </w:r>
    <w:proofErr w:type="spellStart"/>
    <w:r w:rsidR="005D1407">
      <w:rPr>
        <w:rFonts w:ascii="Calibri" w:eastAsia="Calibri" w:hAnsi="Calibri"/>
        <w:sz w:val="16"/>
        <w:szCs w:val="16"/>
      </w:rPr>
      <w:t>RoP</w:t>
    </w:r>
    <w:proofErr w:type="spellEnd"/>
    <w:r w:rsidR="005D1407">
      <w:rPr>
        <w:rFonts w:ascii="Calibri" w:eastAsia="Calibri" w:hAnsi="Calibri"/>
        <w:sz w:val="16"/>
        <w:szCs w:val="16"/>
      </w:rPr>
      <w:t xml:space="preserve"> Facility Assessment Toolkit - 2017</w:t>
    </w:r>
    <w:r w:rsidR="006B3D1B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21" w:rsidRDefault="00053321" w:rsidP="00041B40">
      <w:pPr>
        <w:spacing w:after="0" w:line="240" w:lineRule="auto"/>
      </w:pPr>
      <w:r>
        <w:separator/>
      </w:r>
    </w:p>
  </w:footnote>
  <w:footnote w:type="continuationSeparator" w:id="0">
    <w:p w:rsidR="00053321" w:rsidRDefault="00053321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40" w:rsidRDefault="00041B40" w:rsidP="006B3D1B">
    <w:pPr>
      <w:pStyle w:val="Header"/>
      <w:tabs>
        <w:tab w:val="clear" w:pos="4680"/>
        <w:tab w:val="clear" w:pos="9360"/>
        <w:tab w:val="left" w:pos="720"/>
      </w:tabs>
      <w:jc w:val="center"/>
    </w:pPr>
    <w:r>
      <w:rPr>
        <w:noProof/>
      </w:rPr>
      <w:drawing>
        <wp:inline distT="0" distB="0" distL="0" distR="0" wp14:anchorId="33FB20FC" wp14:editId="442D3273">
          <wp:extent cx="1651521" cy="590331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042" cy="59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3D1B">
      <w:rPr>
        <w:noProof/>
      </w:rPr>
      <w:t xml:space="preserve">                                                                               </w:t>
    </w:r>
    <w:r w:rsidR="006B3D1B">
      <w:rPr>
        <w:noProof/>
      </w:rPr>
      <w:drawing>
        <wp:inline distT="0" distB="0" distL="0" distR="0" wp14:anchorId="110E88B0" wp14:editId="759E9197">
          <wp:extent cx="1669710" cy="5804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209" cy="588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3121"/>
    <w:multiLevelType w:val="hybridMultilevel"/>
    <w:tmpl w:val="ECA05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53BF7"/>
    <w:multiLevelType w:val="multilevel"/>
    <w:tmpl w:val="5C9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F452E"/>
    <w:multiLevelType w:val="hybridMultilevel"/>
    <w:tmpl w:val="53E62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40"/>
    <w:rsid w:val="00034D23"/>
    <w:rsid w:val="00041B40"/>
    <w:rsid w:val="00053321"/>
    <w:rsid w:val="000B55E8"/>
    <w:rsid w:val="00165694"/>
    <w:rsid w:val="00262108"/>
    <w:rsid w:val="002A57BB"/>
    <w:rsid w:val="002B4143"/>
    <w:rsid w:val="002E109C"/>
    <w:rsid w:val="003D637E"/>
    <w:rsid w:val="00487150"/>
    <w:rsid w:val="00500324"/>
    <w:rsid w:val="005D1407"/>
    <w:rsid w:val="006B3D1B"/>
    <w:rsid w:val="006E4105"/>
    <w:rsid w:val="00890268"/>
    <w:rsid w:val="00895110"/>
    <w:rsid w:val="00995A31"/>
    <w:rsid w:val="00A74497"/>
    <w:rsid w:val="00B20E03"/>
    <w:rsid w:val="00D07129"/>
    <w:rsid w:val="00E03BB1"/>
    <w:rsid w:val="00F03129"/>
    <w:rsid w:val="00F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97055"/>
  <w15:docId w15:val="{03C4F65D-B20D-4C33-B88F-6603601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D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268"/>
    <w:rPr>
      <w:color w:val="0000FF"/>
      <w:u w:val="single"/>
    </w:rPr>
  </w:style>
  <w:style w:type="paragraph" w:customStyle="1" w:styleId="Default">
    <w:name w:val="Default"/>
    <w:rsid w:val="00034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34D2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20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B20E03"/>
  </w:style>
  <w:style w:type="paragraph" w:styleId="NormalWeb">
    <w:name w:val="Normal (Web)"/>
    <w:basedOn w:val="Normal"/>
    <w:uiPriority w:val="99"/>
    <w:semiHidden/>
    <w:unhideWhenUsed/>
    <w:rsid w:val="00B2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1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title1">
    <w:name w:val="Subtitle1"/>
    <w:basedOn w:val="DefaultParagraphFont"/>
    <w:rsid w:val="002B4143"/>
  </w:style>
  <w:style w:type="character" w:customStyle="1" w:styleId="Heading3Char">
    <w:name w:val="Heading 3 Char"/>
    <w:basedOn w:val="DefaultParagraphFont"/>
    <w:link w:val="Heading3"/>
    <w:uiPriority w:val="9"/>
    <w:semiHidden/>
    <w:rsid w:val="00E03B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prtracie.hhs.gov/technical-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prtracie.hhs.gov/technical-resources/resource/250/kaiser-permanente-hazard-vulnerability-analysis-hva-tool" TargetMode="External"/><Relationship Id="rId12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sprtracie.hhs.gov/technical-resources/52/long-term-care-facilities/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Laura Richert</cp:lastModifiedBy>
  <cp:revision>3</cp:revision>
  <dcterms:created xsi:type="dcterms:W3CDTF">2017-08-31T18:09:00Z</dcterms:created>
  <dcterms:modified xsi:type="dcterms:W3CDTF">2017-09-07T18:18:00Z</dcterms:modified>
</cp:coreProperties>
</file>