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heet1" w:id="1"/>
      <w:bookmarkEnd w:id="1"/>
      <w:r>
        <w:rPr>
          <w:b w:val="0"/>
        </w:rPr>
      </w:r>
      <w:r>
        <w:rPr>
          <w:color w:val="FF0000"/>
        </w:rPr>
        <w:t>monthly</w:t>
      </w:r>
      <w:r>
        <w:rPr>
          <w:color w:val="FF0000"/>
          <w:spacing w:val="-15"/>
        </w:rPr>
        <w:t> </w:t>
      </w:r>
      <w:r>
        <w:rPr>
          <w:color w:val="FF0000"/>
        </w:rPr>
        <w:t>sales</w:t>
      </w:r>
      <w:r>
        <w:rPr>
          <w:color w:val="FF0000"/>
          <w:spacing w:val="-15"/>
        </w:rPr>
        <w:t> </w:t>
      </w:r>
      <w:r>
        <w:rPr>
          <w:color w:val="FF0000"/>
        </w:rPr>
        <w:t>report/forecast</w:t>
      </w:r>
      <w:r>
        <w:rPr>
          <w:color w:val="FF0000"/>
          <w:spacing w:val="-15"/>
        </w:rPr>
        <w:t> </w:t>
      </w:r>
      <w:r>
        <w:rPr>
          <w:color w:val="FF0000"/>
        </w:rPr>
        <w:t>(template)</w:t>
      </w:r>
    </w:p>
    <w:p>
      <w:pPr>
        <w:pStyle w:val="BodyText"/>
        <w:tabs>
          <w:tab w:pos="2904" w:val="left" w:leader="none"/>
        </w:tabs>
        <w:spacing w:before="112"/>
        <w:ind w:left="157"/>
      </w:pPr>
      <w:r>
        <w:rPr>
          <w:b w:val="0"/>
        </w:rPr>
        <w:br w:type="column"/>
      </w:r>
      <w:r>
        <w:rPr/>
        <w:t>sales</w:t>
      </w:r>
      <w:r>
        <w:rPr>
          <w:spacing w:val="5"/>
        </w:rPr>
        <w:t> </w:t>
      </w:r>
      <w:r>
        <w:rPr/>
        <w:t>dept/team</w:t>
      </w:r>
      <w:r>
        <w:rPr>
          <w:spacing w:val="5"/>
        </w:rPr>
        <w:t> </w:t>
      </w:r>
      <w:r>
        <w:rPr/>
        <w:t>………….</w:t>
        <w:tab/>
        <w:t>month</w:t>
      </w:r>
      <w:r>
        <w:rPr>
          <w:spacing w:val="71"/>
        </w:rPr>
        <w:t> </w:t>
      </w:r>
      <w:r>
        <w:rPr/>
        <w:t>…………</w:t>
      </w:r>
    </w:p>
    <w:p>
      <w:pPr>
        <w:spacing w:after="0"/>
        <w:sectPr>
          <w:type w:val="continuous"/>
          <w:pgSz w:w="11900" w:h="16840"/>
          <w:pgMar w:top="680" w:bottom="280" w:left="500" w:right="1100"/>
          <w:cols w:num="2" w:equalWidth="0">
            <w:col w:w="4732" w:space="1057"/>
            <w:col w:w="4511"/>
          </w:cols>
        </w:sectPr>
      </w:pPr>
    </w:p>
    <w:p>
      <w:pPr>
        <w:spacing w:line="261" w:lineRule="auto" w:before="117"/>
        <w:ind w:left="147" w:right="108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160004pt;margin-top:31.654705pt;width:369.9pt;height:119.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688" w:type="dxa"/>
                        <w:gridSpan w:val="4"/>
                      </w:tcPr>
                      <w:p>
                        <w:pPr>
                          <w:pStyle w:val="TableParagraph"/>
                          <w:spacing w:before="22"/>
                          <w:ind w:left="1534" w:right="150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3688" w:type="dxa"/>
                        <w:gridSpan w:val="4"/>
                      </w:tcPr>
                      <w:p>
                        <w:pPr>
                          <w:pStyle w:val="TableParagraph"/>
                          <w:spacing w:before="22"/>
                          <w:ind w:left="6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cumulative</w:t>
                        </w:r>
                        <w:r>
                          <w:rPr>
                            <w:b/>
                            <w:color w:val="80808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(year</w:t>
                        </w:r>
                        <w:r>
                          <w:rPr>
                            <w:b/>
                            <w:color w:val="80808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80808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808080"/>
                            <w:sz w:val="18"/>
                          </w:rPr>
                          <w:t>date)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actual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actual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This</w:t>
      </w:r>
      <w:r>
        <w:rPr>
          <w:spacing w:val="2"/>
          <w:sz w:val="18"/>
        </w:rPr>
        <w:t> </w:t>
      </w:r>
      <w:r>
        <w:rPr>
          <w:sz w:val="18"/>
        </w:rPr>
        <w:t>basic</w:t>
      </w:r>
      <w:r>
        <w:rPr>
          <w:spacing w:val="3"/>
          <w:sz w:val="18"/>
        </w:rPr>
        <w:t> </w:t>
      </w:r>
      <w:r>
        <w:rPr>
          <w:sz w:val="18"/>
        </w:rPr>
        <w:t>sales</w:t>
      </w:r>
      <w:r>
        <w:rPr>
          <w:spacing w:val="3"/>
          <w:sz w:val="18"/>
        </w:rPr>
        <w:t> </w:t>
      </w:r>
      <w:r>
        <w:rPr>
          <w:sz w:val="18"/>
        </w:rPr>
        <w:t>report/forecast</w:t>
      </w:r>
      <w:r>
        <w:rPr>
          <w:spacing w:val="3"/>
          <w:sz w:val="18"/>
        </w:rPr>
        <w:t> </w:t>
      </w:r>
      <w:r>
        <w:rPr>
          <w:sz w:val="18"/>
        </w:rPr>
        <w:t>tool</w:t>
      </w:r>
      <w:r>
        <w:rPr>
          <w:spacing w:val="3"/>
          <w:sz w:val="18"/>
        </w:rPr>
        <w:t> </w:t>
      </w:r>
      <w:r>
        <w:rPr>
          <w:sz w:val="18"/>
        </w:rPr>
        <w:t>is</w:t>
      </w:r>
      <w:r>
        <w:rPr>
          <w:spacing w:val="4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small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new</w:t>
      </w:r>
      <w:r>
        <w:rPr>
          <w:spacing w:val="3"/>
          <w:sz w:val="18"/>
        </w:rPr>
        <w:t> </w:t>
      </w:r>
      <w:r>
        <w:rPr>
          <w:sz w:val="18"/>
        </w:rPr>
        <w:t>businesses</w:t>
      </w:r>
      <w:r>
        <w:rPr>
          <w:spacing w:val="3"/>
          <w:sz w:val="18"/>
        </w:rPr>
        <w:t> </w:t>
      </w:r>
      <w:r>
        <w:rPr>
          <w:sz w:val="18"/>
        </w:rPr>
        <w:t>which</w:t>
      </w:r>
      <w:r>
        <w:rPr>
          <w:spacing w:val="3"/>
          <w:sz w:val="18"/>
        </w:rPr>
        <w:t> </w:t>
      </w:r>
      <w:r>
        <w:rPr>
          <w:sz w:val="18"/>
        </w:rPr>
        <w:t>does</w:t>
      </w:r>
      <w:r>
        <w:rPr>
          <w:spacing w:val="2"/>
          <w:sz w:val="18"/>
        </w:rPr>
        <w:t> </w:t>
      </w:r>
      <w:r>
        <w:rPr>
          <w:sz w:val="18"/>
        </w:rPr>
        <w:t>not</w:t>
      </w:r>
      <w:r>
        <w:rPr>
          <w:spacing w:val="3"/>
          <w:sz w:val="18"/>
        </w:rPr>
        <w:t> </w:t>
      </w:r>
      <w:r>
        <w:rPr>
          <w:sz w:val="18"/>
        </w:rPr>
        <w:t>yet</w:t>
      </w:r>
      <w:r>
        <w:rPr>
          <w:spacing w:val="3"/>
          <w:sz w:val="18"/>
        </w:rPr>
        <w:t> </w:t>
      </w:r>
      <w:r>
        <w:rPr>
          <w:sz w:val="18"/>
        </w:rPr>
        <w:t>have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computerised</w:t>
      </w:r>
      <w:r>
        <w:rPr>
          <w:spacing w:val="3"/>
          <w:sz w:val="18"/>
        </w:rPr>
        <w:t> </w:t>
      </w:r>
      <w:r>
        <w:rPr>
          <w:sz w:val="18"/>
        </w:rPr>
        <w:t>full</w:t>
      </w:r>
      <w:r>
        <w:rPr>
          <w:spacing w:val="1"/>
          <w:sz w:val="18"/>
        </w:rPr>
        <w:t> </w:t>
      </w:r>
      <w:r>
        <w:rPr>
          <w:sz w:val="18"/>
        </w:rPr>
        <w:t>management</w:t>
      </w:r>
      <w:r>
        <w:rPr>
          <w:spacing w:val="6"/>
          <w:sz w:val="18"/>
        </w:rPr>
        <w:t> </w:t>
      </w:r>
      <w:r>
        <w:rPr>
          <w:sz w:val="18"/>
        </w:rPr>
        <w:t>information</w:t>
      </w:r>
      <w:r>
        <w:rPr>
          <w:spacing w:val="7"/>
          <w:sz w:val="18"/>
        </w:rPr>
        <w:t> </w:t>
      </w:r>
      <w:r>
        <w:rPr>
          <w:sz w:val="18"/>
        </w:rPr>
        <w:t>system,</w:t>
      </w:r>
      <w:r>
        <w:rPr>
          <w:spacing w:val="6"/>
          <w:sz w:val="18"/>
        </w:rPr>
        <w:t> </w:t>
      </w:r>
      <w:r>
        <w:rPr>
          <w:sz w:val="18"/>
        </w:rPr>
        <w:t>which</w:t>
      </w:r>
      <w:r>
        <w:rPr>
          <w:spacing w:val="6"/>
          <w:sz w:val="18"/>
        </w:rPr>
        <w:t> </w:t>
      </w:r>
      <w:r>
        <w:rPr>
          <w:sz w:val="18"/>
        </w:rPr>
        <w:t>would</w:t>
      </w:r>
      <w:r>
        <w:rPr>
          <w:spacing w:val="6"/>
          <w:sz w:val="18"/>
        </w:rPr>
        <w:t> </w:t>
      </w:r>
      <w:r>
        <w:rPr>
          <w:sz w:val="18"/>
        </w:rPr>
        <w:t>normally</w:t>
      </w:r>
      <w:r>
        <w:rPr>
          <w:spacing w:val="6"/>
          <w:sz w:val="18"/>
        </w:rPr>
        <w:t> </w:t>
      </w:r>
      <w:r>
        <w:rPr>
          <w:sz w:val="18"/>
        </w:rPr>
        <w:t>integrate</w:t>
      </w:r>
      <w:r>
        <w:rPr>
          <w:spacing w:val="7"/>
          <w:sz w:val="18"/>
        </w:rPr>
        <w:t> </w:t>
      </w:r>
      <w:r>
        <w:rPr>
          <w:sz w:val="18"/>
        </w:rPr>
        <w:t>sales</w:t>
      </w:r>
      <w:r>
        <w:rPr>
          <w:spacing w:val="6"/>
          <w:sz w:val="18"/>
        </w:rPr>
        <w:t> </w:t>
      </w:r>
      <w:r>
        <w:rPr>
          <w:sz w:val="18"/>
        </w:rPr>
        <w:t>reporting</w:t>
      </w:r>
      <w:r>
        <w:rPr>
          <w:spacing w:val="6"/>
          <w:sz w:val="18"/>
        </w:rPr>
        <w:t> </w:t>
      </w:r>
      <w:r>
        <w:rPr>
          <w:sz w:val="18"/>
        </w:rPr>
        <w:t>with</w:t>
      </w:r>
      <w:r>
        <w:rPr>
          <w:spacing w:val="6"/>
          <w:sz w:val="18"/>
        </w:rPr>
        <w:t> </w:t>
      </w:r>
      <w:r>
        <w:rPr>
          <w:sz w:val="18"/>
        </w:rPr>
        <w:t>other</w:t>
      </w:r>
      <w:r>
        <w:rPr>
          <w:spacing w:val="6"/>
          <w:sz w:val="18"/>
        </w:rPr>
        <w:t> </w:t>
      </w:r>
      <w:r>
        <w:rPr>
          <w:sz w:val="18"/>
        </w:rPr>
        <w:t>business</w:t>
      </w:r>
      <w:r>
        <w:rPr>
          <w:spacing w:val="6"/>
          <w:sz w:val="18"/>
        </w:rPr>
        <w:t> </w:t>
      </w:r>
      <w:r>
        <w:rPr>
          <w:sz w:val="18"/>
        </w:rPr>
        <w:t>processes.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BodyText"/>
        <w:spacing w:line="328" w:lineRule="auto"/>
        <w:ind w:left="150" w:right="6802"/>
      </w:pPr>
      <w:r>
        <w:rPr>
          <w:color w:val="FF0000"/>
        </w:rPr>
        <w:t>sales for</w:t>
      </w:r>
      <w:r>
        <w:rPr>
          <w:color w:val="FF0000"/>
          <w:spacing w:val="1"/>
        </w:rPr>
        <w:t> </w:t>
      </w:r>
      <w:r>
        <w:rPr>
          <w:color w:val="FF0000"/>
        </w:rPr>
        <w:t>month</w:t>
      </w:r>
      <w:r>
        <w:rPr>
          <w:color w:val="FF0000"/>
          <w:spacing w:val="1"/>
        </w:rPr>
        <w:t> </w:t>
      </w:r>
      <w:r>
        <w:rPr/>
        <w:t>volumes/quantity/number</w:t>
      </w:r>
      <w:r>
        <w:rPr>
          <w:spacing w:val="-50"/>
        </w:rPr>
        <w:t> </w:t>
      </w:r>
      <w:r>
        <w:rPr/>
        <w:t>values/revenues</w:t>
      </w:r>
      <w:r>
        <w:rPr>
          <w:spacing w:val="1"/>
        </w:rPr>
        <w:t> </w:t>
      </w:r>
      <w:r>
        <w:rPr/>
        <w:t>margin/contribution</w:t>
      </w:r>
    </w:p>
    <w:p>
      <w:pPr>
        <w:pStyle w:val="BodyText"/>
        <w:spacing w:line="328" w:lineRule="auto"/>
        <w:ind w:left="150" w:right="7878"/>
      </w:pPr>
      <w:r>
        <w:rPr/>
        <w:t>%</w:t>
      </w:r>
      <w:r>
        <w:rPr>
          <w:spacing w:val="9"/>
        </w:rPr>
        <w:t> </w:t>
      </w:r>
      <w:r>
        <w:rPr/>
        <w:t>margin/contribution</w:t>
      </w:r>
      <w:r>
        <w:rPr>
          <w:spacing w:val="-50"/>
        </w:rPr>
        <w:t> </w:t>
      </w:r>
      <w:r>
        <w:rPr/>
        <w:t>number of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average</w:t>
      </w:r>
      <w:r>
        <w:rPr>
          <w:spacing w:val="2"/>
        </w:rPr>
        <w:t> </w:t>
      </w:r>
      <w:r>
        <w:rPr/>
        <w:t>order</w:t>
      </w:r>
      <w:r>
        <w:rPr>
          <w:spacing w:val="2"/>
        </w:rPr>
        <w:t> </w:t>
      </w:r>
      <w:r>
        <w:rPr/>
        <w:t>value</w:t>
      </w:r>
    </w:p>
    <w:p>
      <w:pPr>
        <w:pStyle w:val="BodyText"/>
        <w:spacing w:line="328" w:lineRule="auto" w:before="156"/>
        <w:ind w:left="150" w:right="6802"/>
      </w:pPr>
      <w:r>
        <w:rPr/>
        <w:pict>
          <v:shape style="position:absolute;margin-left:164.160004pt;margin-top:5.404238pt;width:369.9pt;height:60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</w:tblGrid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f'cast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f'cast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next month</w:t>
      </w:r>
      <w:r>
        <w:rPr>
          <w:color w:val="FF0000"/>
          <w:spacing w:val="1"/>
        </w:rPr>
        <w:t> </w:t>
      </w:r>
      <w:r>
        <w:rPr>
          <w:color w:val="FF0000"/>
        </w:rPr>
        <w:t>forecast</w:t>
      </w:r>
      <w:r>
        <w:rPr>
          <w:color w:val="FF0000"/>
          <w:spacing w:val="1"/>
        </w:rPr>
        <w:t> </w:t>
      </w:r>
      <w:r>
        <w:rPr/>
        <w:t>volumes/quantity/number</w:t>
      </w:r>
      <w:r>
        <w:rPr>
          <w:spacing w:val="-50"/>
        </w:rPr>
        <w:t> </w:t>
      </w:r>
      <w:r>
        <w:rPr/>
        <w:t>values/revenues</w:t>
      </w:r>
    </w:p>
    <w:p>
      <w:pPr>
        <w:pStyle w:val="BodyText"/>
        <w:ind w:left="150"/>
      </w:pPr>
      <w:r>
        <w:rPr/>
        <w:t>margin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28" w:lineRule="auto" w:before="1"/>
        <w:ind w:left="150" w:right="8615"/>
        <w:jc w:val="both"/>
      </w:pPr>
      <w:r>
        <w:rPr/>
        <w:pict>
          <v:shape style="position:absolute;margin-left:164.160004pt;margin-top:-2.345952pt;width:369.9pt;height:45.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  <w:gridCol w:w="922"/>
                  </w:tblGrid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f'cast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f'cast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quarter forecast</w:t>
      </w:r>
      <w:r>
        <w:rPr>
          <w:color w:val="FF0000"/>
          <w:spacing w:val="1"/>
        </w:rPr>
        <w:t> </w:t>
      </w:r>
      <w:r>
        <w:rPr/>
        <w:t>values/revenues</w:t>
      </w:r>
      <w:r>
        <w:rPr>
          <w:spacing w:val="-51"/>
        </w:rPr>
        <w:t> </w:t>
      </w:r>
      <w:r>
        <w:rPr/>
        <w:t>margin</w:t>
      </w:r>
    </w:p>
    <w:p>
      <w:pPr>
        <w:spacing w:after="0" w:line="328" w:lineRule="auto"/>
        <w:jc w:val="both"/>
        <w:sectPr>
          <w:type w:val="continuous"/>
          <w:pgSz w:w="11900" w:h="16840"/>
          <w:pgMar w:top="680" w:bottom="280" w:left="500" w:right="1100"/>
        </w:sectPr>
      </w:pPr>
    </w:p>
    <w:p>
      <w:pPr>
        <w:pStyle w:val="BodyText"/>
        <w:spacing w:line="328" w:lineRule="auto" w:before="155"/>
        <w:ind w:left="150"/>
      </w:pPr>
      <w:r>
        <w:rPr>
          <w:color w:val="FF0000"/>
        </w:rPr>
        <w:t>year forecast</w:t>
      </w:r>
      <w:r>
        <w:rPr>
          <w:color w:val="FF0000"/>
          <w:spacing w:val="1"/>
        </w:rPr>
        <w:t> </w:t>
      </w:r>
      <w:r>
        <w:rPr/>
        <w:t>values/revenues</w:t>
      </w:r>
      <w:r>
        <w:rPr>
          <w:spacing w:val="-50"/>
        </w:rPr>
        <w:t> </w:t>
      </w:r>
      <w:r>
        <w:rPr/>
        <w:t>margin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spacing w:line="276" w:lineRule="auto" w:before="156"/>
        <w:ind w:left="1117" w:right="4070" w:hanging="968"/>
        <w:jc w:val="left"/>
        <w:rPr>
          <w:sz w:val="14"/>
        </w:rPr>
      </w:pPr>
      <w:r>
        <w:rPr/>
        <w:pict>
          <v:shape style="position:absolute;margin-left:348.480011pt;margin-top:-5.476295pt;width:185.6pt;height:45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922"/>
                    <w:gridCol w:w="922"/>
                    <w:gridCol w:w="922"/>
                  </w:tblGrid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f'cast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8"/>
                          </w:rPr>
                          <w:t>variance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29"/>
                          <w:ind w:left="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w w:val="101"/>
                            <w:sz w:val="1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105"/>
          <w:sz w:val="14"/>
        </w:rPr>
        <w:t>see</w:t>
      </w:r>
      <w:r>
        <w:rPr>
          <w:color w:val="FF0000"/>
          <w:spacing w:val="-5"/>
          <w:w w:val="105"/>
          <w:sz w:val="14"/>
        </w:rPr>
        <w:t> </w:t>
      </w:r>
      <w:r>
        <w:rPr>
          <w:color w:val="FF0000"/>
          <w:w w:val="105"/>
          <w:sz w:val="14"/>
        </w:rPr>
        <w:t>note</w:t>
      </w:r>
      <w:r>
        <w:rPr>
          <w:color w:val="FF0000"/>
          <w:spacing w:val="-3"/>
          <w:w w:val="105"/>
          <w:sz w:val="14"/>
        </w:rPr>
        <w:t> </w:t>
      </w:r>
      <w:r>
        <w:rPr>
          <w:color w:val="FF0000"/>
          <w:w w:val="105"/>
          <w:sz w:val="14"/>
        </w:rPr>
        <w:t>(in</w:t>
      </w:r>
      <w:r>
        <w:rPr>
          <w:color w:val="FF0000"/>
          <w:spacing w:val="-4"/>
          <w:w w:val="105"/>
          <w:sz w:val="14"/>
        </w:rPr>
        <w:t> </w:t>
      </w:r>
      <w:r>
        <w:rPr>
          <w:color w:val="FF0000"/>
          <w:w w:val="105"/>
          <w:sz w:val="14"/>
        </w:rPr>
        <w:t>msexcel</w:t>
      </w:r>
      <w:r>
        <w:rPr>
          <w:color w:val="FF0000"/>
          <w:spacing w:val="-3"/>
          <w:w w:val="105"/>
          <w:sz w:val="14"/>
        </w:rPr>
        <w:t> </w:t>
      </w:r>
      <w:r>
        <w:rPr>
          <w:color w:val="FF0000"/>
          <w:w w:val="105"/>
          <w:sz w:val="14"/>
        </w:rPr>
        <w:t>version</w:t>
      </w:r>
      <w:r>
        <w:rPr>
          <w:color w:val="FF0000"/>
          <w:spacing w:val="-3"/>
          <w:w w:val="105"/>
          <w:sz w:val="14"/>
        </w:rPr>
        <w:t> </w:t>
      </w:r>
      <w:r>
        <w:rPr>
          <w:color w:val="FF0000"/>
          <w:w w:val="105"/>
          <w:sz w:val="14"/>
        </w:rPr>
        <w:t>only,</w:t>
      </w:r>
      <w:r>
        <w:rPr>
          <w:color w:val="FF0000"/>
          <w:spacing w:val="-4"/>
          <w:w w:val="105"/>
          <w:sz w:val="14"/>
        </w:rPr>
        <w:t> </w:t>
      </w:r>
      <w:r>
        <w:rPr>
          <w:color w:val="FF0000"/>
          <w:w w:val="105"/>
          <w:sz w:val="14"/>
        </w:rPr>
        <w:t>available</w:t>
      </w:r>
      <w:r>
        <w:rPr>
          <w:color w:val="FF0000"/>
          <w:spacing w:val="-3"/>
          <w:w w:val="105"/>
          <w:sz w:val="14"/>
        </w:rPr>
        <w:t> </w:t>
      </w:r>
      <w:r>
        <w:rPr>
          <w:color w:val="FF0000"/>
          <w:w w:val="105"/>
          <w:sz w:val="14"/>
        </w:rPr>
        <w:t>from</w:t>
      </w:r>
      <w:r>
        <w:rPr>
          <w:color w:val="FF0000"/>
          <w:spacing w:val="-43"/>
          <w:w w:val="105"/>
          <w:sz w:val="14"/>
        </w:rPr>
        <w:t> </w:t>
      </w:r>
      <w:r>
        <w:rPr>
          <w:color w:val="FF0000"/>
          <w:w w:val="105"/>
          <w:sz w:val="14"/>
        </w:rPr>
        <w:t>businessballs.com)</w:t>
      </w:r>
    </w:p>
    <w:p>
      <w:pPr>
        <w:spacing w:after="0" w:line="276" w:lineRule="auto"/>
        <w:jc w:val="left"/>
        <w:rPr>
          <w:sz w:val="14"/>
        </w:rPr>
        <w:sectPr>
          <w:type w:val="continuous"/>
          <w:pgSz w:w="11900" w:h="16840"/>
          <w:pgMar w:top="680" w:bottom="280" w:left="500" w:right="1100"/>
          <w:cols w:num="2" w:equalWidth="0">
            <w:col w:w="1723" w:space="1198"/>
            <w:col w:w="7379"/>
          </w:cols>
        </w:sectPr>
      </w:pPr>
    </w:p>
    <w:p>
      <w:pPr>
        <w:pStyle w:val="BodyText"/>
        <w:rPr>
          <w:b w:val="0"/>
          <w:sz w:val="9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1"/>
      </w:tblGrid>
      <w:tr>
        <w:trPr>
          <w:trHeight w:val="1729" w:hRule="atLeast"/>
        </w:trPr>
        <w:tc>
          <w:tcPr>
            <w:tcW w:w="10051" w:type="dxa"/>
          </w:tcPr>
          <w:p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summary/forecast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sales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activities</w:t>
            </w:r>
          </w:p>
        </w:tc>
      </w:tr>
      <w:tr>
        <w:trPr>
          <w:trHeight w:val="1729" w:hRule="atLeast"/>
        </w:trPr>
        <w:tc>
          <w:tcPr>
            <w:tcW w:w="10051" w:type="dxa"/>
          </w:tcPr>
          <w:p>
            <w:pPr>
              <w:pStyle w:val="TableParagraph"/>
              <w:spacing w:line="261" w:lineRule="auto"/>
              <w:ind w:left="35" w:right="40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comments on internal services affecting sales and customers </w:t>
            </w:r>
            <w:r>
              <w:rPr>
                <w:sz w:val="18"/>
              </w:rPr>
              <w:t>(e.g., order processing, customer services, stock,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distribution and deliveries/installations, service support, invoicing, major/national contracts, new product development,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recruitment and training, etc)</w:t>
            </w:r>
          </w:p>
        </w:tc>
      </w:tr>
      <w:tr>
        <w:trPr>
          <w:trHeight w:val="1729" w:hRule="atLeast"/>
        </w:trPr>
        <w:tc>
          <w:tcPr>
            <w:tcW w:w="10051" w:type="dxa"/>
          </w:tcPr>
          <w:p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competitor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activity</w:t>
            </w:r>
          </w:p>
        </w:tc>
      </w:tr>
      <w:tr>
        <w:trPr>
          <w:trHeight w:val="1729" w:hRule="atLeast"/>
        </w:trPr>
        <w:tc>
          <w:tcPr>
            <w:tcW w:w="10051" w:type="dxa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b/>
                <w:sz w:val="18"/>
              </w:rPr>
              <w:t>market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(trends,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developments,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SWOT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factors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note,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i.e.,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strengths,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weaknesses,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opportunities,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threats)</w:t>
            </w:r>
          </w:p>
        </w:tc>
      </w:tr>
      <w:tr>
        <w:trPr>
          <w:trHeight w:val="596" w:hRule="atLeast"/>
        </w:trPr>
        <w:tc>
          <w:tcPr>
            <w:tcW w:w="10051" w:type="dxa"/>
          </w:tcPr>
          <w:p>
            <w:pPr>
              <w:pStyle w:val="TableParagraph"/>
              <w:tabs>
                <w:tab w:pos="4604" w:val="left" w:leader="none"/>
              </w:tabs>
              <w:spacing w:before="18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Report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compiled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66"/>
                <w:sz w:val="18"/>
              </w:rPr>
              <w:t> </w:t>
            </w:r>
            <w:r>
              <w:rPr>
                <w:b/>
                <w:sz w:val="18"/>
              </w:rPr>
              <w:t>……………...………..…..</w:t>
              <w:tab/>
              <w:t>Date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………………..</w:t>
            </w:r>
          </w:p>
        </w:tc>
      </w:tr>
    </w:tbl>
    <w:sectPr>
      <w:type w:val="continuous"/>
      <w:pgSz w:w="11900" w:h="16840"/>
      <w:pgMar w:top="680" w:bottom="280" w:left="5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57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dc:title>monthly_sales_report_template.xls</dc:title>
  <dcterms:created xsi:type="dcterms:W3CDTF">2023-01-19T07:31:51Z</dcterms:created>
  <dcterms:modified xsi:type="dcterms:W3CDTF">2023-01-19T07:31:51Z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2006-09-22T00:00:00Z</vt:filetime>
  </property>
  <property fmtid="{D5CDD505-2E9C-101B-9397-08002B2CF9AE}" pid="3" name="Creator">
    <vt:lpwstr>sejda.com (3.2.84)</vt:lpwstr>
  </property>
  <property fmtid="{D5CDD505-2E9C-101B-9397-08002B2CF9AE}" pid="4" name="LastSaved">
    <vt:filetime>2023-01-19T00:00:00Z</vt:filetime>
  </property>
</Properties>
</file>