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8"/>
        <w:gridCol w:w="1197"/>
        <w:gridCol w:w="1183"/>
        <w:gridCol w:w="741"/>
        <w:gridCol w:w="1183"/>
        <w:gridCol w:w="741"/>
        <w:gridCol w:w="1183"/>
        <w:gridCol w:w="1135"/>
        <w:gridCol w:w="1135"/>
        <w:gridCol w:w="1135"/>
        <w:gridCol w:w="1135"/>
        <w:gridCol w:w="2129"/>
      </w:tblGrid>
      <w:tr w:rsidR="001F2267" w:rsidTr="00E637C0">
        <w:trPr>
          <w:trHeight w:val="3059"/>
        </w:trPr>
        <w:tc>
          <w:tcPr>
            <w:tcW w:w="14915" w:type="dxa"/>
            <w:gridSpan w:val="12"/>
            <w:tcBorders>
              <w:top w:val="nil"/>
              <w:left w:val="nil"/>
              <w:right w:val="nil"/>
            </w:tcBorders>
            <w:shd w:val="clear" w:color="auto" w:fill="auto"/>
          </w:tcPr>
          <w:p w:rsidR="001F2267" w:rsidRDefault="001A669E">
            <w:pPr>
              <w:pStyle w:val="TableParagraph"/>
              <w:spacing w:before="136"/>
              <w:ind w:left="4365"/>
              <w:rPr>
                <w:b/>
                <w:sz w:val="32"/>
              </w:rPr>
            </w:pPr>
            <w:r>
              <w:rPr>
                <w:b/>
                <w:sz w:val="32"/>
              </w:rPr>
              <w:t>Chemical Inventory Worksheet Template</w:t>
            </w:r>
          </w:p>
          <w:p w:rsidR="001F2267" w:rsidRDefault="001F2267">
            <w:pPr>
              <w:pStyle w:val="TableParagraph"/>
              <w:spacing w:before="11"/>
              <w:rPr>
                <w:rFonts w:ascii="Times New Roman"/>
                <w:sz w:val="31"/>
              </w:rPr>
            </w:pPr>
          </w:p>
          <w:p w:rsidR="001F2267" w:rsidRDefault="001A669E">
            <w:pPr>
              <w:pStyle w:val="TableParagraph"/>
              <w:tabs>
                <w:tab w:val="left" w:pos="2114"/>
                <w:tab w:val="left" w:pos="5469"/>
                <w:tab w:val="left" w:pos="8364"/>
                <w:tab w:val="left" w:pos="11173"/>
                <w:tab w:val="left" w:pos="14126"/>
              </w:tabs>
              <w:ind w:left="52"/>
              <w:rPr>
                <w:b/>
                <w:sz w:val="24"/>
              </w:rPr>
            </w:pPr>
            <w:r>
              <w:rPr>
                <w:b/>
                <w:sz w:val="24"/>
              </w:rPr>
              <w:t>School Name</w:t>
            </w:r>
            <w:r>
              <w:rPr>
                <w:b/>
                <w:sz w:val="24"/>
              </w:rPr>
              <w:tab/>
            </w:r>
            <w:r>
              <w:rPr>
                <w:b/>
                <w:sz w:val="24"/>
                <w:u w:val="thick"/>
              </w:rPr>
              <w:t xml:space="preserve"> </w:t>
            </w:r>
            <w:r>
              <w:rPr>
                <w:b/>
                <w:sz w:val="24"/>
                <w:u w:val="thick"/>
              </w:rPr>
              <w:tab/>
            </w:r>
            <w:r>
              <w:rPr>
                <w:b/>
                <w:sz w:val="24"/>
              </w:rPr>
              <w:tab/>
              <w:t>Date</w:t>
            </w:r>
            <w:r>
              <w:rPr>
                <w:b/>
                <w:sz w:val="24"/>
              </w:rPr>
              <w:tab/>
            </w:r>
            <w:r>
              <w:rPr>
                <w:b/>
                <w:sz w:val="24"/>
                <w:u w:val="thick"/>
              </w:rPr>
              <w:t xml:space="preserve"> </w:t>
            </w:r>
            <w:r>
              <w:rPr>
                <w:b/>
                <w:sz w:val="24"/>
                <w:u w:val="thick"/>
              </w:rPr>
              <w:tab/>
            </w:r>
          </w:p>
          <w:p w:rsidR="001F2267" w:rsidRDefault="001F2267">
            <w:pPr>
              <w:pStyle w:val="TableParagraph"/>
              <w:spacing w:before="2"/>
              <w:rPr>
                <w:rFonts w:ascii="Times New Roman"/>
                <w:sz w:val="34"/>
              </w:rPr>
            </w:pPr>
          </w:p>
          <w:p w:rsidR="001F2267" w:rsidRDefault="001A669E">
            <w:pPr>
              <w:pStyle w:val="TableParagraph"/>
              <w:tabs>
                <w:tab w:val="left" w:pos="2097"/>
                <w:tab w:val="left" w:pos="2140"/>
                <w:tab w:val="left" w:pos="5495"/>
                <w:tab w:val="left" w:pos="5589"/>
                <w:tab w:val="left" w:pos="8368"/>
                <w:tab w:val="left" w:pos="11140"/>
                <w:tab w:val="left" w:pos="14092"/>
              </w:tabs>
              <w:spacing w:line="585" w:lineRule="auto"/>
              <w:ind w:left="52" w:right="819"/>
              <w:rPr>
                <w:b/>
                <w:sz w:val="24"/>
              </w:rPr>
            </w:pPr>
            <w:r>
              <w:rPr>
                <w:b/>
                <w:position w:val="1"/>
                <w:sz w:val="24"/>
              </w:rPr>
              <w:t>Contact</w:t>
            </w:r>
            <w:r>
              <w:rPr>
                <w:b/>
                <w:spacing w:val="-2"/>
                <w:position w:val="1"/>
                <w:sz w:val="24"/>
              </w:rPr>
              <w:t xml:space="preserve"> </w:t>
            </w:r>
            <w:r>
              <w:rPr>
                <w:b/>
                <w:position w:val="1"/>
                <w:sz w:val="24"/>
              </w:rPr>
              <w:t>Name</w:t>
            </w:r>
            <w:r>
              <w:rPr>
                <w:b/>
                <w:position w:val="1"/>
                <w:sz w:val="24"/>
              </w:rPr>
              <w:tab/>
            </w:r>
            <w:r>
              <w:rPr>
                <w:b/>
                <w:position w:val="1"/>
                <w:sz w:val="24"/>
              </w:rPr>
              <w:tab/>
            </w:r>
            <w:r>
              <w:rPr>
                <w:b/>
                <w:position w:val="1"/>
                <w:sz w:val="24"/>
                <w:u w:val="thick"/>
              </w:rPr>
              <w:t xml:space="preserve"> </w:t>
            </w:r>
            <w:r>
              <w:rPr>
                <w:b/>
                <w:position w:val="1"/>
                <w:sz w:val="24"/>
                <w:u w:val="thick"/>
              </w:rPr>
              <w:tab/>
            </w:r>
            <w:r>
              <w:rPr>
                <w:b/>
                <w:position w:val="1"/>
                <w:sz w:val="24"/>
              </w:rPr>
              <w:tab/>
            </w:r>
            <w:r>
              <w:rPr>
                <w:b/>
                <w:position w:val="1"/>
                <w:sz w:val="24"/>
              </w:rPr>
              <w:tab/>
            </w:r>
            <w:r>
              <w:rPr>
                <w:b/>
                <w:sz w:val="24"/>
              </w:rPr>
              <w:t>Storage Room No.</w:t>
            </w:r>
            <w:r>
              <w:rPr>
                <w:b/>
                <w:sz w:val="24"/>
              </w:rPr>
              <w:tab/>
            </w:r>
            <w:r>
              <w:rPr>
                <w:b/>
                <w:sz w:val="24"/>
                <w:u w:val="thick"/>
              </w:rPr>
              <w:t xml:space="preserve"> </w:t>
            </w:r>
            <w:r>
              <w:rPr>
                <w:b/>
                <w:sz w:val="24"/>
                <w:u w:val="thick"/>
              </w:rPr>
              <w:tab/>
            </w:r>
            <w:r>
              <w:rPr>
                <w:b/>
                <w:sz w:val="24"/>
              </w:rPr>
              <w:t xml:space="preserve"> </w:t>
            </w:r>
            <w:r>
              <w:rPr>
                <w:b/>
                <w:position w:val="3"/>
                <w:sz w:val="24"/>
              </w:rPr>
              <w:t>Phone</w:t>
            </w:r>
            <w:r>
              <w:rPr>
                <w:b/>
                <w:spacing w:val="-2"/>
                <w:position w:val="3"/>
                <w:sz w:val="24"/>
              </w:rPr>
              <w:t xml:space="preserve"> </w:t>
            </w:r>
            <w:r>
              <w:rPr>
                <w:b/>
                <w:position w:val="3"/>
                <w:sz w:val="24"/>
              </w:rPr>
              <w:t>Number</w:t>
            </w:r>
            <w:r>
              <w:rPr>
                <w:b/>
                <w:position w:val="3"/>
                <w:sz w:val="24"/>
              </w:rPr>
              <w:tab/>
            </w:r>
            <w:r>
              <w:rPr>
                <w:b/>
                <w:position w:val="3"/>
                <w:sz w:val="24"/>
                <w:u w:val="thick"/>
              </w:rPr>
              <w:t xml:space="preserve"> </w:t>
            </w:r>
            <w:r>
              <w:rPr>
                <w:b/>
                <w:position w:val="3"/>
                <w:sz w:val="24"/>
                <w:u w:val="thick"/>
              </w:rPr>
              <w:tab/>
            </w:r>
            <w:r>
              <w:rPr>
                <w:b/>
                <w:position w:val="3"/>
                <w:sz w:val="24"/>
                <w:u w:val="thick"/>
              </w:rPr>
              <w:tab/>
            </w:r>
            <w:r>
              <w:rPr>
                <w:b/>
                <w:position w:val="3"/>
                <w:sz w:val="24"/>
              </w:rPr>
              <w:tab/>
            </w:r>
            <w:r>
              <w:rPr>
                <w:b/>
                <w:position w:val="3"/>
                <w:sz w:val="24"/>
              </w:rPr>
              <w:tab/>
            </w:r>
            <w:r>
              <w:rPr>
                <w:b/>
                <w:sz w:val="24"/>
              </w:rPr>
              <w:t>MSDS</w:t>
            </w:r>
            <w:r>
              <w:rPr>
                <w:b/>
                <w:sz w:val="24"/>
                <w:vertAlign w:val="superscript"/>
              </w:rPr>
              <w:t>1</w:t>
            </w:r>
            <w:r>
              <w:rPr>
                <w:b/>
                <w:sz w:val="24"/>
              </w:rPr>
              <w:t>/SDS</w:t>
            </w:r>
            <w:r>
              <w:rPr>
                <w:b/>
                <w:sz w:val="24"/>
                <w:vertAlign w:val="superscript"/>
              </w:rPr>
              <w:t>2,3</w:t>
            </w:r>
            <w:r>
              <w:rPr>
                <w:b/>
                <w:spacing w:val="-32"/>
                <w:sz w:val="24"/>
              </w:rPr>
              <w:t xml:space="preserve"> </w:t>
            </w:r>
            <w:r>
              <w:rPr>
                <w:b/>
                <w:sz w:val="24"/>
              </w:rPr>
              <w:t xml:space="preserve">Location  </w:t>
            </w:r>
            <w:r>
              <w:rPr>
                <w:b/>
                <w:sz w:val="24"/>
                <w:u w:val="thick"/>
              </w:rPr>
              <w:t xml:space="preserve"> </w:t>
            </w:r>
            <w:r>
              <w:rPr>
                <w:b/>
                <w:sz w:val="24"/>
                <w:u w:val="thick"/>
              </w:rPr>
              <w:tab/>
            </w:r>
          </w:p>
        </w:tc>
      </w:tr>
      <w:tr w:rsidR="001F2267">
        <w:trPr>
          <w:trHeight w:val="793"/>
        </w:trPr>
        <w:tc>
          <w:tcPr>
            <w:tcW w:w="2018" w:type="dxa"/>
            <w:vMerge w:val="restart"/>
          </w:tcPr>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spacing w:before="1"/>
              <w:rPr>
                <w:rFonts w:ascii="Times New Roman"/>
                <w:sz w:val="24"/>
              </w:rPr>
            </w:pPr>
          </w:p>
          <w:p w:rsidR="001F2267" w:rsidRDefault="001A669E">
            <w:pPr>
              <w:pStyle w:val="TableParagraph"/>
              <w:ind w:left="268"/>
              <w:rPr>
                <w:b/>
                <w:sz w:val="20"/>
              </w:rPr>
            </w:pPr>
            <w:r>
              <w:rPr>
                <w:b/>
                <w:sz w:val="20"/>
              </w:rPr>
              <w:t>Chemical Name</w:t>
            </w:r>
          </w:p>
        </w:tc>
        <w:tc>
          <w:tcPr>
            <w:tcW w:w="1197" w:type="dxa"/>
            <w:vMerge w:val="restart"/>
            <w:textDirection w:val="btLr"/>
          </w:tcPr>
          <w:p w:rsidR="001F2267" w:rsidRDefault="001F2267">
            <w:pPr>
              <w:pStyle w:val="TableParagraph"/>
              <w:rPr>
                <w:rFonts w:ascii="Times New Roman"/>
              </w:rPr>
            </w:pPr>
          </w:p>
          <w:p w:rsidR="001F2267" w:rsidRDefault="001F2267">
            <w:pPr>
              <w:pStyle w:val="TableParagraph"/>
              <w:spacing w:before="10"/>
              <w:rPr>
                <w:rFonts w:ascii="Times New Roman"/>
                <w:sz w:val="18"/>
              </w:rPr>
            </w:pPr>
          </w:p>
          <w:p w:rsidR="001F2267" w:rsidRDefault="001A669E">
            <w:pPr>
              <w:pStyle w:val="TableParagraph"/>
              <w:ind w:left="558"/>
              <w:rPr>
                <w:b/>
                <w:sz w:val="20"/>
              </w:rPr>
            </w:pPr>
            <w:r>
              <w:rPr>
                <w:b/>
                <w:sz w:val="20"/>
              </w:rPr>
              <w:t>Receipt Date</w:t>
            </w:r>
          </w:p>
        </w:tc>
        <w:tc>
          <w:tcPr>
            <w:tcW w:w="1183" w:type="dxa"/>
            <w:vMerge w:val="restart"/>
            <w:textDirection w:val="btLr"/>
          </w:tcPr>
          <w:p w:rsidR="001F2267" w:rsidRDefault="001F2267">
            <w:pPr>
              <w:pStyle w:val="TableParagraph"/>
              <w:rPr>
                <w:rFonts w:ascii="Times New Roman"/>
                <w:sz w:val="29"/>
              </w:rPr>
            </w:pPr>
          </w:p>
          <w:p w:rsidR="001F2267" w:rsidRDefault="001A669E">
            <w:pPr>
              <w:pStyle w:val="TableParagraph"/>
              <w:spacing w:line="268" w:lineRule="auto"/>
              <w:ind w:left="647" w:right="456" w:hanging="216"/>
              <w:rPr>
                <w:b/>
                <w:sz w:val="20"/>
              </w:rPr>
            </w:pPr>
            <w:r>
              <w:rPr>
                <w:b/>
                <w:sz w:val="20"/>
              </w:rPr>
              <w:t>Expiration Date (Per Label)</w:t>
            </w:r>
          </w:p>
        </w:tc>
        <w:tc>
          <w:tcPr>
            <w:tcW w:w="741" w:type="dxa"/>
            <w:vMerge w:val="restart"/>
            <w:textDirection w:val="btLr"/>
          </w:tcPr>
          <w:p w:rsidR="001F2267" w:rsidRDefault="001F2267">
            <w:pPr>
              <w:pStyle w:val="TableParagraph"/>
              <w:spacing w:before="1"/>
              <w:rPr>
                <w:rFonts w:ascii="Times New Roman"/>
                <w:sz w:val="21"/>
              </w:rPr>
            </w:pPr>
          </w:p>
          <w:p w:rsidR="001F2267" w:rsidRDefault="001A669E">
            <w:pPr>
              <w:pStyle w:val="TableParagraph"/>
              <w:ind w:left="114"/>
              <w:rPr>
                <w:b/>
                <w:sz w:val="20"/>
              </w:rPr>
            </w:pPr>
            <w:r>
              <w:rPr>
                <w:b/>
                <w:sz w:val="20"/>
              </w:rPr>
              <w:t>Number of Containers</w:t>
            </w:r>
          </w:p>
        </w:tc>
        <w:tc>
          <w:tcPr>
            <w:tcW w:w="1183" w:type="dxa"/>
            <w:vMerge w:val="restart"/>
            <w:textDirection w:val="btLr"/>
          </w:tcPr>
          <w:p w:rsidR="001F2267" w:rsidRDefault="001F2267">
            <w:pPr>
              <w:pStyle w:val="TableParagraph"/>
              <w:rPr>
                <w:rFonts w:ascii="Times New Roman"/>
              </w:rPr>
            </w:pPr>
          </w:p>
          <w:p w:rsidR="001F2267" w:rsidRDefault="001F2267">
            <w:pPr>
              <w:pStyle w:val="TableParagraph"/>
              <w:spacing w:before="4"/>
              <w:rPr>
                <w:rFonts w:ascii="Times New Roman"/>
                <w:sz w:val="18"/>
              </w:rPr>
            </w:pPr>
          </w:p>
          <w:p w:rsidR="001F2267" w:rsidRDefault="001A669E">
            <w:pPr>
              <w:pStyle w:val="TableParagraph"/>
              <w:ind w:left="520"/>
              <w:rPr>
                <w:b/>
                <w:sz w:val="20"/>
              </w:rPr>
            </w:pPr>
            <w:r>
              <w:rPr>
                <w:b/>
                <w:sz w:val="20"/>
              </w:rPr>
              <w:t>Total Amount</w:t>
            </w:r>
          </w:p>
        </w:tc>
        <w:tc>
          <w:tcPr>
            <w:tcW w:w="741" w:type="dxa"/>
            <w:vMerge w:val="restart"/>
            <w:textDirection w:val="btLr"/>
          </w:tcPr>
          <w:p w:rsidR="001F2267" w:rsidRDefault="001F2267">
            <w:pPr>
              <w:pStyle w:val="TableParagraph"/>
              <w:spacing w:before="2"/>
              <w:rPr>
                <w:rFonts w:ascii="Times New Roman"/>
                <w:sz w:val="21"/>
              </w:rPr>
            </w:pPr>
          </w:p>
          <w:p w:rsidR="001F2267" w:rsidRDefault="001A669E">
            <w:pPr>
              <w:pStyle w:val="TableParagraph"/>
              <w:ind w:left="436"/>
              <w:rPr>
                <w:b/>
                <w:sz w:val="20"/>
              </w:rPr>
            </w:pPr>
            <w:r>
              <w:rPr>
                <w:b/>
                <w:sz w:val="20"/>
              </w:rPr>
              <w:t>Container Type</w:t>
            </w:r>
          </w:p>
        </w:tc>
        <w:tc>
          <w:tcPr>
            <w:tcW w:w="1183" w:type="dxa"/>
            <w:vMerge w:val="restart"/>
            <w:textDirection w:val="btLr"/>
          </w:tcPr>
          <w:p w:rsidR="001F2267" w:rsidRDefault="001F2267">
            <w:pPr>
              <w:pStyle w:val="TableParagraph"/>
              <w:rPr>
                <w:rFonts w:ascii="Times New Roman"/>
              </w:rPr>
            </w:pPr>
          </w:p>
          <w:p w:rsidR="001F2267" w:rsidRDefault="001F2267">
            <w:pPr>
              <w:pStyle w:val="TableParagraph"/>
              <w:spacing w:before="5"/>
              <w:rPr>
                <w:rFonts w:ascii="Times New Roman"/>
                <w:sz w:val="18"/>
              </w:rPr>
            </w:pPr>
          </w:p>
          <w:p w:rsidR="001F2267" w:rsidRDefault="001A669E">
            <w:pPr>
              <w:pStyle w:val="TableParagraph"/>
              <w:ind w:left="527"/>
              <w:rPr>
                <w:b/>
                <w:sz w:val="20"/>
              </w:rPr>
            </w:pPr>
            <w:r>
              <w:rPr>
                <w:b/>
                <w:sz w:val="20"/>
              </w:rPr>
              <w:t>Manufacturer</w:t>
            </w:r>
          </w:p>
        </w:tc>
        <w:tc>
          <w:tcPr>
            <w:tcW w:w="2270" w:type="dxa"/>
            <w:gridSpan w:val="2"/>
          </w:tcPr>
          <w:p w:rsidR="001F2267" w:rsidRDefault="001A669E">
            <w:pPr>
              <w:pStyle w:val="TableParagraph"/>
              <w:spacing w:before="162" w:line="268" w:lineRule="auto"/>
              <w:ind w:left="259" w:firstLine="211"/>
              <w:rPr>
                <w:b/>
                <w:sz w:val="20"/>
              </w:rPr>
            </w:pPr>
            <w:r>
              <w:rPr>
                <w:b/>
                <w:sz w:val="20"/>
              </w:rPr>
              <w:t>Color Coding</w:t>
            </w:r>
            <w:r>
              <w:rPr>
                <w:b/>
                <w:sz w:val="20"/>
                <w:vertAlign w:val="superscript"/>
              </w:rPr>
              <w:t>4</w:t>
            </w:r>
            <w:r>
              <w:rPr>
                <w:b/>
                <w:sz w:val="20"/>
              </w:rPr>
              <w:t xml:space="preserve"> Chemical Storage*</w:t>
            </w:r>
          </w:p>
        </w:tc>
        <w:tc>
          <w:tcPr>
            <w:tcW w:w="2270" w:type="dxa"/>
            <w:gridSpan w:val="2"/>
          </w:tcPr>
          <w:p w:rsidR="001F2267" w:rsidRDefault="001A669E">
            <w:pPr>
              <w:pStyle w:val="TableParagraph"/>
              <w:spacing w:before="143" w:line="268" w:lineRule="auto"/>
              <w:ind w:left="636" w:hanging="339"/>
              <w:rPr>
                <w:b/>
                <w:sz w:val="20"/>
              </w:rPr>
            </w:pPr>
            <w:r>
              <w:rPr>
                <w:b/>
                <w:sz w:val="20"/>
              </w:rPr>
              <w:t xml:space="preserve">Chemical Storage Per </w:t>
            </w:r>
            <w:proofErr w:type="spellStart"/>
            <w:r>
              <w:rPr>
                <w:b/>
                <w:sz w:val="20"/>
              </w:rPr>
              <w:t>Flinn</w:t>
            </w:r>
            <w:proofErr w:type="spellEnd"/>
            <w:r>
              <w:rPr>
                <w:b/>
                <w:sz w:val="20"/>
              </w:rPr>
              <w:t>**</w:t>
            </w:r>
          </w:p>
        </w:tc>
        <w:tc>
          <w:tcPr>
            <w:tcW w:w="2129" w:type="dxa"/>
            <w:vMerge w:val="restart"/>
          </w:tcPr>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spacing w:before="1"/>
              <w:rPr>
                <w:rFonts w:ascii="Times New Roman"/>
                <w:sz w:val="24"/>
              </w:rPr>
            </w:pPr>
          </w:p>
          <w:p w:rsidR="001F2267" w:rsidRDefault="001A669E">
            <w:pPr>
              <w:pStyle w:val="TableParagraph"/>
              <w:ind w:left="120"/>
              <w:rPr>
                <w:b/>
                <w:sz w:val="20"/>
              </w:rPr>
            </w:pPr>
            <w:r>
              <w:rPr>
                <w:b/>
                <w:sz w:val="20"/>
              </w:rPr>
              <w:t>Notes or Comments</w:t>
            </w:r>
          </w:p>
        </w:tc>
      </w:tr>
      <w:tr w:rsidR="001F2267">
        <w:trPr>
          <w:trHeight w:val="1506"/>
        </w:trPr>
        <w:tc>
          <w:tcPr>
            <w:tcW w:w="2018" w:type="dxa"/>
            <w:vMerge/>
            <w:tcBorders>
              <w:top w:val="nil"/>
            </w:tcBorders>
          </w:tcPr>
          <w:p w:rsidR="001F2267" w:rsidRDefault="001F2267">
            <w:pPr>
              <w:rPr>
                <w:sz w:val="2"/>
                <w:szCs w:val="2"/>
              </w:rPr>
            </w:pPr>
          </w:p>
        </w:tc>
        <w:tc>
          <w:tcPr>
            <w:tcW w:w="1197"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741"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741"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1135" w:type="dxa"/>
            <w:textDirection w:val="btLr"/>
          </w:tcPr>
          <w:p w:rsidR="001F2267" w:rsidRDefault="001F2267">
            <w:pPr>
              <w:pStyle w:val="TableParagraph"/>
              <w:rPr>
                <w:rFonts w:ascii="Times New Roman"/>
              </w:rPr>
            </w:pPr>
          </w:p>
          <w:p w:rsidR="001F2267" w:rsidRDefault="001A669E">
            <w:pPr>
              <w:pStyle w:val="TableParagraph"/>
              <w:spacing w:before="188"/>
              <w:ind w:left="328"/>
              <w:rPr>
                <w:b/>
                <w:sz w:val="20"/>
              </w:rPr>
            </w:pPr>
            <w:r>
              <w:rPr>
                <w:b/>
                <w:sz w:val="20"/>
              </w:rPr>
              <w:t>Location</w:t>
            </w:r>
          </w:p>
        </w:tc>
        <w:tc>
          <w:tcPr>
            <w:tcW w:w="1135" w:type="dxa"/>
            <w:textDirection w:val="btLr"/>
          </w:tcPr>
          <w:p w:rsidR="001F2267" w:rsidRDefault="001F2267">
            <w:pPr>
              <w:pStyle w:val="TableParagraph"/>
              <w:rPr>
                <w:rFonts w:ascii="Times New Roman"/>
              </w:rPr>
            </w:pPr>
          </w:p>
          <w:p w:rsidR="001F2267" w:rsidRDefault="001A669E">
            <w:pPr>
              <w:pStyle w:val="TableParagraph"/>
              <w:spacing w:before="188"/>
              <w:ind w:left="484"/>
              <w:rPr>
                <w:b/>
                <w:sz w:val="20"/>
              </w:rPr>
            </w:pPr>
            <w:r>
              <w:rPr>
                <w:b/>
                <w:sz w:val="20"/>
              </w:rPr>
              <w:t>Color</w:t>
            </w:r>
          </w:p>
        </w:tc>
        <w:tc>
          <w:tcPr>
            <w:tcW w:w="1135" w:type="dxa"/>
            <w:textDirection w:val="btLr"/>
          </w:tcPr>
          <w:p w:rsidR="001F2267" w:rsidRDefault="001F2267">
            <w:pPr>
              <w:pStyle w:val="TableParagraph"/>
              <w:spacing w:before="1"/>
              <w:rPr>
                <w:rFonts w:ascii="Times New Roman"/>
                <w:sz w:val="27"/>
              </w:rPr>
            </w:pPr>
          </w:p>
          <w:p w:rsidR="001F2267" w:rsidRDefault="001A669E">
            <w:pPr>
              <w:pStyle w:val="TableParagraph"/>
              <w:spacing w:line="268" w:lineRule="auto"/>
              <w:ind w:left="426" w:hanging="329"/>
              <w:rPr>
                <w:b/>
                <w:sz w:val="20"/>
              </w:rPr>
            </w:pPr>
            <w:r>
              <w:rPr>
                <w:b/>
                <w:sz w:val="20"/>
              </w:rPr>
              <w:t>Storage Code Page 2</w:t>
            </w:r>
          </w:p>
        </w:tc>
        <w:tc>
          <w:tcPr>
            <w:tcW w:w="1135" w:type="dxa"/>
            <w:textDirection w:val="btLr"/>
          </w:tcPr>
          <w:p w:rsidR="001F2267" w:rsidRDefault="001A669E">
            <w:pPr>
              <w:pStyle w:val="TableParagraph"/>
              <w:spacing w:before="38" w:line="268" w:lineRule="auto"/>
              <w:ind w:left="38" w:right="51"/>
              <w:jc w:val="center"/>
              <w:rPr>
                <w:b/>
                <w:sz w:val="20"/>
              </w:rPr>
            </w:pPr>
            <w:r>
              <w:rPr>
                <w:b/>
                <w:sz w:val="20"/>
              </w:rPr>
              <w:t>GHS Chemical Hazards</w:t>
            </w:r>
          </w:p>
          <w:p w:rsidR="001F2267" w:rsidRDefault="001A669E">
            <w:pPr>
              <w:pStyle w:val="TableParagraph"/>
              <w:spacing w:before="15" w:line="250" w:lineRule="atLeast"/>
              <w:ind w:left="38" w:right="48"/>
              <w:jc w:val="center"/>
              <w:rPr>
                <w:b/>
                <w:sz w:val="20"/>
              </w:rPr>
            </w:pPr>
            <w:r>
              <w:rPr>
                <w:b/>
                <w:sz w:val="20"/>
              </w:rPr>
              <w:t>Classification</w:t>
            </w:r>
            <w:r>
              <w:rPr>
                <w:b/>
                <w:sz w:val="20"/>
                <w:vertAlign w:val="superscript"/>
              </w:rPr>
              <w:t>5</w:t>
            </w:r>
            <w:r>
              <w:rPr>
                <w:b/>
                <w:sz w:val="20"/>
              </w:rPr>
              <w:t xml:space="preserve"> Page 3</w:t>
            </w:r>
          </w:p>
        </w:tc>
        <w:tc>
          <w:tcPr>
            <w:tcW w:w="2129" w:type="dxa"/>
            <w:vMerge/>
            <w:tcBorders>
              <w:top w:val="nil"/>
            </w:tcBorders>
          </w:tcPr>
          <w:p w:rsidR="001F2267" w:rsidRDefault="001F2267">
            <w:pPr>
              <w:rPr>
                <w:sz w:val="2"/>
                <w:szCs w:val="2"/>
              </w:rPr>
            </w:pPr>
          </w:p>
        </w:tc>
      </w:tr>
      <w:tr w:rsidR="001F2267">
        <w:trPr>
          <w:trHeight w:val="48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445"/>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81"/>
        </w:trPr>
        <w:tc>
          <w:tcPr>
            <w:tcW w:w="14915" w:type="dxa"/>
            <w:gridSpan w:val="12"/>
            <w:tcBorders>
              <w:left w:val="nil"/>
              <w:bottom w:val="nil"/>
              <w:right w:val="nil"/>
            </w:tcBorders>
            <w:shd w:val="clear" w:color="auto" w:fill="C5D9F1"/>
          </w:tcPr>
          <w:p w:rsidR="001F2267" w:rsidRDefault="001A669E">
            <w:pPr>
              <w:pStyle w:val="TableParagraph"/>
              <w:spacing w:before="57"/>
              <w:ind w:left="48"/>
              <w:rPr>
                <w:sz w:val="20"/>
              </w:rPr>
            </w:pPr>
            <w:r>
              <w:rPr>
                <w:sz w:val="20"/>
              </w:rPr>
              <w:t>There are two chemical storage systems * and ** listed in the table. Only one system should be used as your preference.</w:t>
            </w:r>
          </w:p>
        </w:tc>
      </w:tr>
    </w:tbl>
    <w:p w:rsidR="001F2267" w:rsidRDefault="001F2267">
      <w:pPr>
        <w:rPr>
          <w:sz w:val="20"/>
        </w:rPr>
        <w:sectPr w:rsidR="001F2267">
          <w:footerReference w:type="default" r:id="rId8"/>
          <w:type w:val="continuous"/>
          <w:pgSz w:w="15840" w:h="12240" w:orient="landscape"/>
          <w:pgMar w:top="740" w:right="360" w:bottom="520" w:left="300" w:header="720" w:footer="323" w:gutter="0"/>
          <w:pgNumType w:start="1"/>
          <w:cols w:space="720"/>
        </w:sectPr>
      </w:pPr>
    </w:p>
    <w:p w:rsidR="001F2267" w:rsidRDefault="001A669E">
      <w:pPr>
        <w:pStyle w:val="Heading1"/>
        <w:spacing w:before="69"/>
        <w:ind w:left="1980"/>
      </w:pPr>
      <w:r>
        <w:lastRenderedPageBreak/>
        <w:t xml:space="preserve">Summary for </w:t>
      </w:r>
      <w:proofErr w:type="spellStart"/>
      <w:r>
        <w:t>Codings</w:t>
      </w:r>
      <w:proofErr w:type="spellEnd"/>
      <w:r>
        <w:t>, Acronyms, Units and Definitions Used in the Table</w:t>
      </w:r>
    </w:p>
    <w:p w:rsidR="001F2267" w:rsidRDefault="001F2267">
      <w:pPr>
        <w:pStyle w:val="BodyText"/>
        <w:spacing w:before="7"/>
        <w:rPr>
          <w:b/>
          <w:sz w:val="16"/>
        </w:rPr>
      </w:pPr>
    </w:p>
    <w:p w:rsidR="001F2267" w:rsidRDefault="001A669E">
      <w:pPr>
        <w:pStyle w:val="Heading2"/>
      </w:pPr>
      <w:r>
        <w:rPr>
          <w:u w:val="thick"/>
        </w:rPr>
        <w:t>Definitions of Units and Notes in the Table</w:t>
      </w:r>
    </w:p>
    <w:p w:rsidR="001F2267" w:rsidRDefault="001F2267">
      <w:pPr>
        <w:pStyle w:val="BodyText"/>
        <w:spacing w:before="6"/>
        <w:rPr>
          <w:b/>
          <w:sz w:val="21"/>
        </w:rPr>
      </w:pPr>
    </w:p>
    <w:p w:rsidR="001F2267" w:rsidRDefault="001A669E">
      <w:pPr>
        <w:pStyle w:val="BodyText"/>
        <w:spacing w:before="93" w:line="355" w:lineRule="auto"/>
        <w:ind w:left="163" w:right="1422"/>
      </w:pPr>
      <w:r>
        <w:t xml:space="preserve">The units listed are as marked on the container. The quantity should be estimated if it was used: ml = milliliter; gal = gallon; </w:t>
      </w:r>
      <w:proofErr w:type="spellStart"/>
      <w:r>
        <w:t>lb</w:t>
      </w:r>
      <w:proofErr w:type="spellEnd"/>
      <w:r>
        <w:t xml:space="preserve"> = pound; </w:t>
      </w:r>
      <w:proofErr w:type="spellStart"/>
      <w:r>
        <w:t>fl</w:t>
      </w:r>
      <w:proofErr w:type="spellEnd"/>
      <w:r>
        <w:t xml:space="preserve"> </w:t>
      </w:r>
      <w:proofErr w:type="spellStart"/>
      <w:r>
        <w:t>oz</w:t>
      </w:r>
      <w:proofErr w:type="spellEnd"/>
      <w:r>
        <w:t xml:space="preserve"> = fluid ounce; </w:t>
      </w:r>
      <w:proofErr w:type="spellStart"/>
      <w:r>
        <w:t>oz</w:t>
      </w:r>
      <w:proofErr w:type="spellEnd"/>
      <w:r>
        <w:t xml:space="preserve"> = ounce, L = liter; </w:t>
      </w:r>
      <w:proofErr w:type="spellStart"/>
      <w:r>
        <w:t>qt</w:t>
      </w:r>
      <w:proofErr w:type="spellEnd"/>
      <w:r>
        <w:t xml:space="preserve"> = quart; g = gram; kg = kilogram</w:t>
      </w:r>
    </w:p>
    <w:p w:rsidR="001F2267" w:rsidRDefault="001A669E">
      <w:pPr>
        <w:pStyle w:val="BodyText"/>
        <w:spacing w:before="46"/>
        <w:ind w:left="163"/>
      </w:pPr>
      <w:r>
        <w:t>In the “</w:t>
      </w:r>
      <w:r>
        <w:rPr>
          <w:b/>
        </w:rPr>
        <w:t>Container Typ</w:t>
      </w:r>
      <w:r>
        <w:t>e” column, P = Plastic; G = Glass; M = Metal</w:t>
      </w:r>
    </w:p>
    <w:p w:rsidR="001F2267" w:rsidRDefault="001F2267">
      <w:pPr>
        <w:pStyle w:val="BodyText"/>
        <w:spacing w:before="11"/>
        <w:rPr>
          <w:sz w:val="21"/>
        </w:rPr>
      </w:pPr>
    </w:p>
    <w:p w:rsidR="001F2267" w:rsidRDefault="001A669E">
      <w:pPr>
        <w:pStyle w:val="BodyText"/>
        <w:ind w:left="163"/>
      </w:pPr>
      <w:r>
        <w:t>In the "</w:t>
      </w:r>
      <w:r>
        <w:rPr>
          <w:b/>
        </w:rPr>
        <w:t>Color Coding Chemical Storage</w:t>
      </w:r>
      <w:r>
        <w:t>" column, the colors will be determined by its hazard classification and Safety Data Sheet (SDS) information.</w:t>
      </w:r>
    </w:p>
    <w:p w:rsidR="001F2267" w:rsidRDefault="001A669E">
      <w:pPr>
        <w:pStyle w:val="BodyText"/>
        <w:spacing w:before="178" w:line="352" w:lineRule="auto"/>
        <w:ind w:left="163" w:right="1628"/>
      </w:pPr>
      <w:r>
        <w:t>In the "</w:t>
      </w:r>
      <w:r>
        <w:rPr>
          <w:b/>
        </w:rPr>
        <w:t xml:space="preserve">Chemical Storage </w:t>
      </w:r>
      <w:proofErr w:type="gramStart"/>
      <w:r>
        <w:rPr>
          <w:b/>
        </w:rPr>
        <w:t>Per</w:t>
      </w:r>
      <w:proofErr w:type="gramEnd"/>
      <w:r>
        <w:rPr>
          <w:b/>
        </w:rPr>
        <w:t xml:space="preserve"> </w:t>
      </w:r>
      <w:proofErr w:type="spellStart"/>
      <w:r>
        <w:rPr>
          <w:b/>
        </w:rPr>
        <w:t>Flinn</w:t>
      </w:r>
      <w:proofErr w:type="spellEnd"/>
      <w:r>
        <w:rPr>
          <w:b/>
        </w:rPr>
        <w:t>, Storage Code</w:t>
      </w:r>
      <w:r>
        <w:t xml:space="preserve">" column, I = Inorganic; O = Organic; </w:t>
      </w:r>
      <w:proofErr w:type="spellStart"/>
      <w:r>
        <w:t>Mis</w:t>
      </w:r>
      <w:proofErr w:type="spellEnd"/>
      <w:r>
        <w:t xml:space="preserve"> = Miscellaneous. Check "Chemical Storage and Handling Recommendations" in a separate document on this website for the details.</w:t>
      </w:r>
    </w:p>
    <w:p w:rsidR="001F2267" w:rsidRDefault="001A669E">
      <w:pPr>
        <w:pStyle w:val="BodyText"/>
        <w:spacing w:before="97" w:line="494" w:lineRule="auto"/>
        <w:ind w:left="163" w:right="488" w:hanging="1"/>
      </w:pPr>
      <w:r>
        <w:t>In the "</w:t>
      </w:r>
      <w:r>
        <w:rPr>
          <w:b/>
        </w:rPr>
        <w:t>GHS Chemical Hazards Classification</w:t>
      </w:r>
      <w:r>
        <w:rPr>
          <w:b/>
          <w:vertAlign w:val="superscript"/>
        </w:rPr>
        <w:t>5</w:t>
      </w:r>
      <w:r>
        <w:t>" column, Roman numbers combine with GHS Classification for Chemical Hazard is used. See the details in page 3. One chemical may require multiple storage color codes and have multiple hazard characteristics. The highest hazardous code and highest toxicity category should be selected in the table.</w:t>
      </w:r>
    </w:p>
    <w:p w:rsidR="001F2267" w:rsidRDefault="001F2267">
      <w:pPr>
        <w:pStyle w:val="BodyText"/>
        <w:spacing w:before="4"/>
        <w:rPr>
          <w:sz w:val="25"/>
        </w:rPr>
      </w:pPr>
    </w:p>
    <w:p w:rsidR="001F2267" w:rsidRDefault="001A669E">
      <w:pPr>
        <w:pStyle w:val="Heading2"/>
        <w:spacing w:before="93"/>
      </w:pPr>
      <w:r>
        <w:rPr>
          <w:u w:val="thick"/>
        </w:rPr>
        <w:t xml:space="preserve">Color Coding Chemical Storage </w:t>
      </w:r>
    </w:p>
    <w:p w:rsidR="001F2267" w:rsidRDefault="001A669E">
      <w:pPr>
        <w:pStyle w:val="BodyText"/>
        <w:spacing w:before="210" w:line="556" w:lineRule="auto"/>
        <w:ind w:left="163" w:right="2245"/>
      </w:pPr>
      <w:r>
        <w:t>Blue (Health Hazard-Toxic): Chemical is hazardous to health if ingested, inhaled or absorbed through the skin. Store separately in a secure area Red, Red Stripe (Flammable): Store separately only with other flammable chemicals</w:t>
      </w:r>
    </w:p>
    <w:p w:rsidR="001F2267" w:rsidRDefault="001A669E">
      <w:pPr>
        <w:pStyle w:val="BodyText"/>
        <w:spacing w:line="178" w:lineRule="exact"/>
        <w:ind w:left="163"/>
      </w:pPr>
      <w:r>
        <w:t>Green (General Storage): Reagent presents no more than a moderate hazard in any categories. General chemical storage</w:t>
      </w:r>
    </w:p>
    <w:p w:rsidR="001F2267" w:rsidRDefault="001F2267">
      <w:pPr>
        <w:pStyle w:val="BodyText"/>
        <w:spacing w:before="11"/>
        <w:rPr>
          <w:sz w:val="21"/>
        </w:rPr>
      </w:pPr>
    </w:p>
    <w:p w:rsidR="001F2267" w:rsidRDefault="001A669E">
      <w:pPr>
        <w:pStyle w:val="BodyText"/>
        <w:spacing w:line="504" w:lineRule="auto"/>
        <w:ind w:left="163" w:right="1403"/>
      </w:pPr>
      <w:r>
        <w:t xml:space="preserve">Yellow (Oxidizer-Reactive): Reactive/Oxidizer. </w:t>
      </w:r>
      <w:proofErr w:type="gramStart"/>
      <w:r>
        <w:t>May react violently with water, air or other chemicals.</w:t>
      </w:r>
      <w:proofErr w:type="gramEnd"/>
      <w:r>
        <w:t xml:space="preserve"> Store separate from combustible/flammable reagents White, White Stripe (Corrosives): May be harmful to eyes, mucous membranes and skin. Store separate from combustible and flammable chemicals</w:t>
      </w:r>
    </w:p>
    <w:p w:rsidR="001F2267" w:rsidRDefault="001F2267">
      <w:pPr>
        <w:spacing w:line="504" w:lineRule="auto"/>
        <w:sectPr w:rsidR="001F2267">
          <w:pgSz w:w="15840" w:h="12240" w:orient="landscape"/>
          <w:pgMar w:top="660" w:right="360" w:bottom="520" w:left="300" w:header="0" w:footer="323" w:gutter="0"/>
          <w:cols w:space="720"/>
        </w:sectPr>
      </w:pPr>
    </w:p>
    <w:p w:rsidR="001F2267" w:rsidRDefault="001A669E">
      <w:pPr>
        <w:pStyle w:val="Heading2"/>
        <w:spacing w:before="89"/>
      </w:pPr>
      <w:r>
        <w:rPr>
          <w:u w:val="thick"/>
        </w:rPr>
        <w:lastRenderedPageBreak/>
        <w:t>Globally Harmonized System (GHS) Classification Combined with Roman Numbers for Chemical Hazards</w:t>
      </w:r>
    </w:p>
    <w:p w:rsidR="001F2267" w:rsidRDefault="001F2267">
      <w:pPr>
        <w:pStyle w:val="BodyText"/>
        <w:spacing w:before="9"/>
        <w:rPr>
          <w:b/>
        </w:rPr>
      </w:pPr>
    </w:p>
    <w:p w:rsidR="001F2267" w:rsidRDefault="001A669E">
      <w:pPr>
        <w:pStyle w:val="Heading3"/>
      </w:pPr>
      <w:r>
        <w:t>This modified chemicals classification is based on Environmental Health &amp; Safety Assistant (EHSA's) online "chemical inventory</w:t>
      </w:r>
    </w:p>
    <w:p w:rsidR="001F2267" w:rsidRDefault="001F2267">
      <w:pPr>
        <w:pStyle w:val="BodyText"/>
        <w:spacing w:before="11"/>
        <w:rPr>
          <w:b/>
          <w:sz w:val="25"/>
        </w:rPr>
      </w:pPr>
    </w:p>
    <w:p w:rsidR="001F2267" w:rsidRDefault="001A669E">
      <w:pPr>
        <w:spacing w:line="436" w:lineRule="auto"/>
        <w:ind w:left="165" w:right="755"/>
        <w:rPr>
          <w:b/>
        </w:rPr>
      </w:pPr>
      <w:proofErr w:type="gramStart"/>
      <w:r>
        <w:rPr>
          <w:b/>
        </w:rPr>
        <w:t>worksheet</w:t>
      </w:r>
      <w:proofErr w:type="gramEnd"/>
      <w:r>
        <w:rPr>
          <w:b/>
        </w:rPr>
        <w:t xml:space="preserve"> instruction"</w:t>
      </w:r>
      <w:r>
        <w:rPr>
          <w:b/>
          <w:vertAlign w:val="superscript"/>
        </w:rPr>
        <w:t>6</w:t>
      </w:r>
      <w:r>
        <w:rPr>
          <w:b/>
        </w:rPr>
        <w:t xml:space="preserve"> and GHS. Roman numbers were used for identifying six different hazardous categories and numerical numbers 1 to 5 follow Roman numbers to indicate the hazardous levels for a chemical (1 is for most severe and 5 is least severe)</w:t>
      </w:r>
    </w:p>
    <w:p w:rsidR="001F2267" w:rsidRDefault="001A669E">
      <w:pPr>
        <w:spacing w:before="29"/>
        <w:ind w:left="163"/>
        <w:rPr>
          <w:i/>
          <w:sz w:val="20"/>
        </w:rPr>
      </w:pPr>
      <w:r>
        <w:rPr>
          <w:sz w:val="20"/>
        </w:rPr>
        <w:t xml:space="preserve">I: Fire Hazard - includes products which are </w:t>
      </w:r>
      <w:r>
        <w:rPr>
          <w:i/>
          <w:sz w:val="20"/>
        </w:rPr>
        <w:t xml:space="preserve">flammable, combustible liquid, pyrophoric, </w:t>
      </w:r>
      <w:r>
        <w:rPr>
          <w:sz w:val="20"/>
        </w:rPr>
        <w:t xml:space="preserve">and/or </w:t>
      </w:r>
      <w:r>
        <w:rPr>
          <w:i/>
          <w:sz w:val="20"/>
        </w:rPr>
        <w:t>an oxidizer</w:t>
      </w:r>
    </w:p>
    <w:p w:rsidR="001F2267" w:rsidRDefault="001F2267">
      <w:pPr>
        <w:pStyle w:val="BodyText"/>
        <w:spacing w:before="11"/>
        <w:rPr>
          <w:i/>
          <w:sz w:val="21"/>
        </w:rPr>
      </w:pPr>
    </w:p>
    <w:p w:rsidR="001F2267" w:rsidRDefault="001A669E">
      <w:pPr>
        <w:ind w:left="163"/>
        <w:rPr>
          <w:i/>
          <w:sz w:val="20"/>
        </w:rPr>
      </w:pPr>
      <w:r>
        <w:rPr>
          <w:color w:val="323232"/>
          <w:sz w:val="20"/>
        </w:rPr>
        <w:t xml:space="preserve">II: Pressure Hazard - includes products which are </w:t>
      </w:r>
      <w:r>
        <w:rPr>
          <w:i/>
          <w:color w:val="323232"/>
          <w:sz w:val="20"/>
        </w:rPr>
        <w:t xml:space="preserve">explosive </w:t>
      </w:r>
      <w:r>
        <w:rPr>
          <w:color w:val="323232"/>
          <w:sz w:val="20"/>
        </w:rPr>
        <w:t xml:space="preserve">or </w:t>
      </w:r>
      <w:r>
        <w:rPr>
          <w:i/>
          <w:color w:val="323232"/>
          <w:sz w:val="20"/>
        </w:rPr>
        <w:t>compressed gases</w:t>
      </w:r>
    </w:p>
    <w:p w:rsidR="001F2267" w:rsidRDefault="001F2267">
      <w:pPr>
        <w:pStyle w:val="BodyText"/>
        <w:spacing w:before="11"/>
        <w:rPr>
          <w:i/>
          <w:sz w:val="21"/>
        </w:rPr>
      </w:pPr>
    </w:p>
    <w:p w:rsidR="001F2267" w:rsidRDefault="001A669E">
      <w:pPr>
        <w:ind w:left="163"/>
        <w:rPr>
          <w:i/>
          <w:sz w:val="20"/>
        </w:rPr>
      </w:pPr>
      <w:r>
        <w:rPr>
          <w:color w:val="323232"/>
          <w:sz w:val="20"/>
        </w:rPr>
        <w:t xml:space="preserve">III: Reactivity Hazard - include products which are </w:t>
      </w:r>
      <w:r>
        <w:rPr>
          <w:i/>
          <w:color w:val="323232"/>
          <w:sz w:val="20"/>
        </w:rPr>
        <w:t xml:space="preserve">unstable </w:t>
      </w:r>
      <w:proofErr w:type="spellStart"/>
      <w:r>
        <w:rPr>
          <w:i/>
          <w:color w:val="323232"/>
          <w:sz w:val="20"/>
        </w:rPr>
        <w:t>reactives</w:t>
      </w:r>
      <w:proofErr w:type="spellEnd"/>
      <w:r>
        <w:rPr>
          <w:i/>
          <w:color w:val="323232"/>
          <w:sz w:val="20"/>
        </w:rPr>
        <w:t xml:space="preserve">, organic </w:t>
      </w:r>
      <w:proofErr w:type="gramStart"/>
      <w:r>
        <w:rPr>
          <w:i/>
          <w:color w:val="323232"/>
          <w:sz w:val="20"/>
        </w:rPr>
        <w:t xml:space="preserve">peroxides </w:t>
      </w:r>
      <w:r>
        <w:rPr>
          <w:color w:val="323232"/>
          <w:sz w:val="20"/>
        </w:rPr>
        <w:t>,</w:t>
      </w:r>
      <w:proofErr w:type="gramEnd"/>
      <w:r>
        <w:rPr>
          <w:color w:val="323232"/>
          <w:sz w:val="20"/>
        </w:rPr>
        <w:t xml:space="preserve"> and/or </w:t>
      </w:r>
      <w:r>
        <w:rPr>
          <w:i/>
          <w:color w:val="323232"/>
          <w:sz w:val="20"/>
        </w:rPr>
        <w:t>water reactive</w:t>
      </w:r>
    </w:p>
    <w:p w:rsidR="001F2267" w:rsidRDefault="001F2267">
      <w:pPr>
        <w:pStyle w:val="BodyText"/>
        <w:spacing w:before="11"/>
        <w:rPr>
          <w:i/>
          <w:sz w:val="21"/>
        </w:rPr>
      </w:pPr>
    </w:p>
    <w:p w:rsidR="001F2267" w:rsidRDefault="001A669E">
      <w:pPr>
        <w:spacing w:line="504" w:lineRule="auto"/>
        <w:ind w:left="439" w:right="1736" w:hanging="277"/>
        <w:rPr>
          <w:i/>
          <w:sz w:val="20"/>
        </w:rPr>
      </w:pPr>
      <w:r>
        <w:rPr>
          <w:sz w:val="20"/>
        </w:rPr>
        <w:t xml:space="preserve">IV: Acute Health Hazards (immediate) - includes products which are </w:t>
      </w:r>
      <w:r>
        <w:rPr>
          <w:i/>
          <w:sz w:val="20"/>
        </w:rPr>
        <w:t xml:space="preserve">highly toxic, corrosive, toxic, irritants, </w:t>
      </w:r>
      <w:proofErr w:type="gramStart"/>
      <w:r>
        <w:rPr>
          <w:i/>
          <w:sz w:val="20"/>
        </w:rPr>
        <w:t xml:space="preserve">sensitizers </w:t>
      </w:r>
      <w:r>
        <w:rPr>
          <w:sz w:val="20"/>
        </w:rPr>
        <w:t>,</w:t>
      </w:r>
      <w:proofErr w:type="gramEnd"/>
      <w:r>
        <w:rPr>
          <w:sz w:val="20"/>
        </w:rPr>
        <w:t xml:space="preserve"> and other hazardous chemicals which cause an </w:t>
      </w:r>
      <w:r>
        <w:rPr>
          <w:i/>
          <w:sz w:val="20"/>
        </w:rPr>
        <w:t>adverse effect to a target organ within a short period of time</w:t>
      </w:r>
    </w:p>
    <w:p w:rsidR="001F2267" w:rsidRDefault="001A669E">
      <w:pPr>
        <w:spacing w:line="229" w:lineRule="exact"/>
        <w:ind w:left="163"/>
        <w:rPr>
          <w:sz w:val="20"/>
        </w:rPr>
      </w:pPr>
      <w:r>
        <w:rPr>
          <w:sz w:val="20"/>
        </w:rPr>
        <w:t xml:space="preserve">V: Chronic </w:t>
      </w:r>
      <w:proofErr w:type="spellStart"/>
      <w:r>
        <w:rPr>
          <w:sz w:val="20"/>
        </w:rPr>
        <w:t>Heath</w:t>
      </w:r>
      <w:proofErr w:type="spellEnd"/>
      <w:r>
        <w:rPr>
          <w:sz w:val="20"/>
        </w:rPr>
        <w:t xml:space="preserve"> Hazards (delayed) - includes products which are </w:t>
      </w:r>
      <w:r>
        <w:rPr>
          <w:i/>
          <w:sz w:val="20"/>
        </w:rPr>
        <w:t xml:space="preserve">carcinogens, mutagens, or </w:t>
      </w:r>
      <w:proofErr w:type="gramStart"/>
      <w:r>
        <w:rPr>
          <w:i/>
          <w:sz w:val="20"/>
        </w:rPr>
        <w:t xml:space="preserve">teratogens </w:t>
      </w:r>
      <w:r>
        <w:rPr>
          <w:sz w:val="20"/>
        </w:rPr>
        <w:t>,</w:t>
      </w:r>
      <w:proofErr w:type="gramEnd"/>
      <w:r>
        <w:rPr>
          <w:sz w:val="20"/>
        </w:rPr>
        <w:t xml:space="preserve"> and other hazardous chemicals which cause an</w:t>
      </w:r>
    </w:p>
    <w:p w:rsidR="001F2267" w:rsidRDefault="001F2267">
      <w:pPr>
        <w:pStyle w:val="BodyText"/>
        <w:spacing w:before="11"/>
        <w:rPr>
          <w:sz w:val="21"/>
        </w:rPr>
      </w:pPr>
    </w:p>
    <w:p w:rsidR="001F2267" w:rsidRDefault="001A669E">
      <w:pPr>
        <w:ind w:left="383"/>
        <w:rPr>
          <w:i/>
          <w:sz w:val="20"/>
        </w:rPr>
      </w:pPr>
      <w:proofErr w:type="gramStart"/>
      <w:r>
        <w:rPr>
          <w:i/>
          <w:sz w:val="20"/>
        </w:rPr>
        <w:t>adverse</w:t>
      </w:r>
      <w:proofErr w:type="gramEnd"/>
      <w:r>
        <w:rPr>
          <w:i/>
          <w:sz w:val="20"/>
        </w:rPr>
        <w:t xml:space="preserve"> effect to a target organ after a long period of time</w:t>
      </w:r>
    </w:p>
    <w:p w:rsidR="001F2267" w:rsidRDefault="001F2267">
      <w:pPr>
        <w:pStyle w:val="BodyText"/>
        <w:spacing w:before="2"/>
        <w:rPr>
          <w:i/>
          <w:sz w:val="22"/>
        </w:rPr>
      </w:pPr>
    </w:p>
    <w:p w:rsidR="001F2267" w:rsidRDefault="001A669E">
      <w:pPr>
        <w:pStyle w:val="BodyText"/>
        <w:ind w:left="163"/>
      </w:pPr>
      <w:r>
        <w:t>VI: Environmental Hazards*** - is the state of events which has the potential to threaten the surrounding natural environment and adversely affect people's health</w:t>
      </w:r>
    </w:p>
    <w:p w:rsidR="001F2267" w:rsidRDefault="001F2267">
      <w:pPr>
        <w:pStyle w:val="BodyText"/>
        <w:spacing w:before="11"/>
        <w:rPr>
          <w:sz w:val="21"/>
        </w:rPr>
      </w:pPr>
    </w:p>
    <w:p w:rsidR="001F2267" w:rsidRDefault="001A669E">
      <w:pPr>
        <w:pStyle w:val="BodyText"/>
        <w:ind w:left="163"/>
      </w:pPr>
      <w:r>
        <w:t>*** This definition is from Wikipedia.</w:t>
      </w:r>
    </w:p>
    <w:p w:rsidR="001F2267" w:rsidRDefault="001F2267">
      <w:pPr>
        <w:pStyle w:val="BodyText"/>
        <w:spacing w:before="1"/>
        <w:rPr>
          <w:sz w:val="21"/>
        </w:rPr>
      </w:pPr>
    </w:p>
    <w:p w:rsidR="001F2267" w:rsidRDefault="001A669E">
      <w:pPr>
        <w:pStyle w:val="Heading3"/>
        <w:spacing w:line="468" w:lineRule="auto"/>
        <w:ind w:right="856"/>
      </w:pPr>
      <w:r>
        <w:t xml:space="preserve">GHS classification should be used to be in compliance with </w:t>
      </w:r>
      <w:r>
        <w:rPr>
          <w:spacing w:val="-3"/>
        </w:rPr>
        <w:t xml:space="preserve">OSHA's </w:t>
      </w:r>
      <w:r>
        <w:t xml:space="preserve">regulation: June 1, 2015 - Chemical manufacturers and distributors must complete hazard reclassification and produce GHS styled labels and safety data sheets. Distributors get an additional 6 </w:t>
      </w:r>
      <w:proofErr w:type="gramStart"/>
      <w:r>
        <w:t>months  to</w:t>
      </w:r>
      <w:proofErr w:type="gramEnd"/>
      <w:r>
        <w:t xml:space="preserve"> complete shipments of old inventory</w:t>
      </w:r>
      <w:r>
        <w:rPr>
          <w:vertAlign w:val="superscript"/>
        </w:rPr>
        <w:t>7</w:t>
      </w:r>
      <w:r>
        <w:t xml:space="preserve">. </w:t>
      </w:r>
      <w:r>
        <w:rPr>
          <w:spacing w:val="-3"/>
        </w:rPr>
        <w:t xml:space="preserve">All </w:t>
      </w:r>
      <w:r>
        <w:t>new purchased chemicals will have GHS required labeling and hazard</w:t>
      </w:r>
      <w:r>
        <w:rPr>
          <w:spacing w:val="15"/>
        </w:rPr>
        <w:t xml:space="preserve"> </w:t>
      </w:r>
      <w:r>
        <w:t>classification.</w:t>
      </w:r>
    </w:p>
    <w:p w:rsidR="001F2267" w:rsidRDefault="001F2267">
      <w:pPr>
        <w:spacing w:line="468" w:lineRule="auto"/>
        <w:sectPr w:rsidR="001F2267">
          <w:pgSz w:w="15840" w:h="12240" w:orient="landscape"/>
          <w:pgMar w:top="1140" w:right="360" w:bottom="520" w:left="300" w:header="0" w:footer="323" w:gutter="0"/>
          <w:cols w:space="720"/>
        </w:sectPr>
      </w:pPr>
    </w:p>
    <w:p w:rsidR="001F2267" w:rsidRDefault="001A669E">
      <w:pPr>
        <w:spacing w:before="59" w:after="11"/>
        <w:ind w:left="1485"/>
        <w:rPr>
          <w:b/>
          <w:sz w:val="32"/>
        </w:rPr>
      </w:pPr>
      <w:r>
        <w:rPr>
          <w:b/>
          <w:color w:val="FF0000"/>
          <w:sz w:val="32"/>
        </w:rPr>
        <w:lastRenderedPageBreak/>
        <w:t xml:space="preserve">Dangerous Chemicals </w:t>
      </w:r>
      <w:r>
        <w:rPr>
          <w:b/>
          <w:sz w:val="32"/>
        </w:rPr>
        <w:t>Potentially Found In High School Chemical Storage Room</w:t>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6"/>
        <w:gridCol w:w="7303"/>
        <w:gridCol w:w="4399"/>
      </w:tblGrid>
      <w:tr w:rsidR="001F2267">
        <w:trPr>
          <w:trHeight w:val="462"/>
        </w:trPr>
        <w:tc>
          <w:tcPr>
            <w:tcW w:w="3216" w:type="dxa"/>
          </w:tcPr>
          <w:p w:rsidR="001F2267" w:rsidRDefault="001A669E">
            <w:pPr>
              <w:pStyle w:val="TableParagraph"/>
              <w:spacing w:before="95"/>
              <w:ind w:left="726"/>
              <w:rPr>
                <w:b/>
              </w:rPr>
            </w:pPr>
            <w:r>
              <w:rPr>
                <w:b/>
              </w:rPr>
              <w:t>Chemicals Name</w:t>
            </w:r>
          </w:p>
        </w:tc>
        <w:tc>
          <w:tcPr>
            <w:tcW w:w="7303" w:type="dxa"/>
          </w:tcPr>
          <w:p w:rsidR="001F2267" w:rsidRDefault="001A669E">
            <w:pPr>
              <w:pStyle w:val="TableParagraph"/>
              <w:spacing w:before="95"/>
              <w:ind w:left="2442"/>
              <w:rPr>
                <w:b/>
              </w:rPr>
            </w:pPr>
            <w:r>
              <w:rPr>
                <w:b/>
              </w:rPr>
              <w:t>Toxicity/Hazard/Poison</w:t>
            </w:r>
          </w:p>
        </w:tc>
        <w:tc>
          <w:tcPr>
            <w:tcW w:w="4399" w:type="dxa"/>
          </w:tcPr>
          <w:p w:rsidR="001F2267" w:rsidRDefault="001A669E">
            <w:pPr>
              <w:pStyle w:val="TableParagraph"/>
              <w:spacing w:before="95"/>
              <w:ind w:left="1067"/>
              <w:rPr>
                <w:b/>
              </w:rPr>
            </w:pPr>
            <w:r>
              <w:rPr>
                <w:b/>
              </w:rPr>
              <w:t>Notes and Comments</w:t>
            </w:r>
          </w:p>
        </w:tc>
      </w:tr>
      <w:tr w:rsidR="001F2267">
        <w:trPr>
          <w:trHeight w:val="512"/>
        </w:trPr>
        <w:tc>
          <w:tcPr>
            <w:tcW w:w="3216" w:type="dxa"/>
          </w:tcPr>
          <w:p w:rsidR="001F2267" w:rsidRDefault="001A669E">
            <w:pPr>
              <w:pStyle w:val="TableParagraph"/>
              <w:spacing w:before="150"/>
              <w:ind w:left="38"/>
              <w:rPr>
                <w:sz w:val="20"/>
              </w:rPr>
            </w:pPr>
            <w:r>
              <w:rPr>
                <w:sz w:val="20"/>
              </w:rPr>
              <w:t>Ammonium bifluoride</w:t>
            </w:r>
            <w:r>
              <w:rPr>
                <w:sz w:val="20"/>
                <w:vertAlign w:val="superscript"/>
              </w:rPr>
              <w:t>8</w:t>
            </w:r>
            <w:r>
              <w:rPr>
                <w:sz w:val="20"/>
              </w:rPr>
              <w:t xml:space="preserve"> (NH4F.HF)</w:t>
            </w:r>
          </w:p>
        </w:tc>
        <w:tc>
          <w:tcPr>
            <w:tcW w:w="7303" w:type="dxa"/>
          </w:tcPr>
          <w:p w:rsidR="001F2267" w:rsidRDefault="001A669E">
            <w:pPr>
              <w:pStyle w:val="TableParagraph"/>
              <w:spacing w:before="129"/>
              <w:ind w:left="38"/>
              <w:rPr>
                <w:sz w:val="20"/>
              </w:rPr>
            </w:pPr>
            <w:r>
              <w:rPr>
                <w:sz w:val="20"/>
              </w:rPr>
              <w:t>Extremely hazardous in case of skin and eye contact, ingestion and inhalation</w:t>
            </w:r>
          </w:p>
        </w:tc>
        <w:tc>
          <w:tcPr>
            <w:tcW w:w="4399" w:type="dxa"/>
          </w:tcPr>
          <w:p w:rsidR="001F2267" w:rsidRDefault="001A669E">
            <w:pPr>
              <w:pStyle w:val="TableParagraph"/>
              <w:spacing w:before="6"/>
              <w:ind w:left="38"/>
              <w:rPr>
                <w:sz w:val="20"/>
              </w:rPr>
            </w:pPr>
            <w:r>
              <w:rPr>
                <w:sz w:val="20"/>
              </w:rPr>
              <w:t>Never add water to this product. It may corrode</w:t>
            </w:r>
          </w:p>
          <w:p w:rsidR="001F2267" w:rsidRDefault="001A669E">
            <w:pPr>
              <w:pStyle w:val="TableParagraph"/>
              <w:spacing w:before="17"/>
              <w:ind w:left="38"/>
              <w:rPr>
                <w:sz w:val="20"/>
              </w:rPr>
            </w:pPr>
            <w:proofErr w:type="gramStart"/>
            <w:r>
              <w:rPr>
                <w:sz w:val="20"/>
              </w:rPr>
              <w:t>glass</w:t>
            </w:r>
            <w:proofErr w:type="gramEnd"/>
            <w:r>
              <w:rPr>
                <w:sz w:val="20"/>
              </w:rPr>
              <w:t>.</w:t>
            </w:r>
          </w:p>
        </w:tc>
      </w:tr>
      <w:tr w:rsidR="001F2267">
        <w:trPr>
          <w:trHeight w:val="512"/>
        </w:trPr>
        <w:tc>
          <w:tcPr>
            <w:tcW w:w="3216" w:type="dxa"/>
          </w:tcPr>
          <w:p w:rsidR="001F2267" w:rsidRDefault="001A669E">
            <w:pPr>
              <w:pStyle w:val="TableParagraph"/>
              <w:spacing w:before="150"/>
              <w:ind w:left="38"/>
              <w:rPr>
                <w:sz w:val="20"/>
              </w:rPr>
            </w:pPr>
            <w:r>
              <w:rPr>
                <w:sz w:val="20"/>
              </w:rPr>
              <w:t>Bromine</w:t>
            </w:r>
            <w:r>
              <w:rPr>
                <w:sz w:val="20"/>
                <w:vertAlign w:val="superscript"/>
              </w:rPr>
              <w:t>3,</w:t>
            </w:r>
            <w:r>
              <w:rPr>
                <w:sz w:val="20"/>
              </w:rPr>
              <w:t xml:space="preserve"> </w:t>
            </w:r>
            <w:r>
              <w:rPr>
                <w:sz w:val="20"/>
                <w:vertAlign w:val="superscript"/>
              </w:rPr>
              <w:t>9</w:t>
            </w:r>
          </w:p>
        </w:tc>
        <w:tc>
          <w:tcPr>
            <w:tcW w:w="7303" w:type="dxa"/>
          </w:tcPr>
          <w:p w:rsidR="001F2267" w:rsidRDefault="001A669E">
            <w:pPr>
              <w:pStyle w:val="TableParagraph"/>
              <w:spacing w:before="6"/>
              <w:ind w:left="38"/>
              <w:rPr>
                <w:sz w:val="20"/>
              </w:rPr>
            </w:pPr>
            <w:r>
              <w:rPr>
                <w:sz w:val="20"/>
              </w:rPr>
              <w:t>Highly toxic by inhalation and ingestion; severe skin irritant; very strong oxidizer;</w:t>
            </w:r>
          </w:p>
          <w:p w:rsidR="001F2267" w:rsidRDefault="001A669E">
            <w:pPr>
              <w:pStyle w:val="TableParagraph"/>
              <w:spacing w:before="17"/>
              <w:ind w:left="38"/>
              <w:rPr>
                <w:sz w:val="20"/>
              </w:rPr>
            </w:pPr>
            <w:r>
              <w:rPr>
                <w:sz w:val="20"/>
              </w:rPr>
              <w:t>poison inhalation hazard zone-tear gas</w:t>
            </w:r>
          </w:p>
        </w:tc>
        <w:tc>
          <w:tcPr>
            <w:tcW w:w="4399" w:type="dxa"/>
          </w:tcPr>
          <w:p w:rsidR="001F2267" w:rsidRDefault="001A669E">
            <w:pPr>
              <w:pStyle w:val="TableParagraph"/>
              <w:spacing w:before="6"/>
              <w:ind w:left="38"/>
              <w:rPr>
                <w:sz w:val="20"/>
              </w:rPr>
            </w:pPr>
            <w:r>
              <w:rPr>
                <w:sz w:val="20"/>
              </w:rPr>
              <w:t>Emit fumes of bromine and bromides upon</w:t>
            </w:r>
          </w:p>
          <w:p w:rsidR="001F2267" w:rsidRDefault="001A669E">
            <w:pPr>
              <w:pStyle w:val="TableParagraph"/>
              <w:spacing w:before="17"/>
              <w:ind w:left="38"/>
              <w:rPr>
                <w:sz w:val="20"/>
              </w:rPr>
            </w:pPr>
            <w:r>
              <w:rPr>
                <w:sz w:val="20"/>
              </w:rPr>
              <w:t>thermal decomposition</w:t>
            </w:r>
          </w:p>
        </w:tc>
      </w:tr>
      <w:tr w:rsidR="001F2267">
        <w:trPr>
          <w:trHeight w:val="512"/>
        </w:trPr>
        <w:tc>
          <w:tcPr>
            <w:tcW w:w="3216" w:type="dxa"/>
          </w:tcPr>
          <w:p w:rsidR="001F2267" w:rsidRDefault="001A669E">
            <w:pPr>
              <w:pStyle w:val="TableParagraph"/>
              <w:spacing w:before="150"/>
              <w:ind w:left="38"/>
              <w:rPr>
                <w:sz w:val="20"/>
              </w:rPr>
            </w:pPr>
            <w:r>
              <w:rPr>
                <w:sz w:val="20"/>
              </w:rPr>
              <w:t>Cyanides</w:t>
            </w:r>
            <w:r>
              <w:rPr>
                <w:sz w:val="20"/>
                <w:vertAlign w:val="superscript"/>
              </w:rPr>
              <w:t>8</w:t>
            </w:r>
            <w:r>
              <w:rPr>
                <w:sz w:val="20"/>
              </w:rPr>
              <w:t xml:space="preserve"> (CN-)</w:t>
            </w:r>
          </w:p>
        </w:tc>
        <w:tc>
          <w:tcPr>
            <w:tcW w:w="7303" w:type="dxa"/>
          </w:tcPr>
          <w:p w:rsidR="001F2267" w:rsidRDefault="001A669E">
            <w:pPr>
              <w:pStyle w:val="TableParagraph"/>
              <w:spacing w:before="6"/>
              <w:ind w:left="37"/>
              <w:rPr>
                <w:sz w:val="20"/>
              </w:rPr>
            </w:pPr>
            <w:r>
              <w:rPr>
                <w:sz w:val="20"/>
              </w:rPr>
              <w:t>Potentially fatal if inhaled or swallowed. Vapor may cause flash fire. May</w:t>
            </w:r>
          </w:p>
          <w:p w:rsidR="001F2267" w:rsidRDefault="001A669E">
            <w:pPr>
              <w:pStyle w:val="TableParagraph"/>
              <w:spacing w:before="17"/>
              <w:ind w:left="37"/>
              <w:rPr>
                <w:sz w:val="20"/>
              </w:rPr>
            </w:pPr>
            <w:proofErr w:type="gramStart"/>
            <w:r>
              <w:rPr>
                <w:sz w:val="20"/>
              </w:rPr>
              <w:t>polymerize</w:t>
            </w:r>
            <w:proofErr w:type="gramEnd"/>
            <w:r>
              <w:rPr>
                <w:sz w:val="20"/>
              </w:rPr>
              <w:t>. Container may rupture or explode</w:t>
            </w:r>
          </w:p>
        </w:tc>
        <w:tc>
          <w:tcPr>
            <w:tcW w:w="4399" w:type="dxa"/>
          </w:tcPr>
          <w:p w:rsidR="001F2267" w:rsidRDefault="001A669E">
            <w:pPr>
              <w:pStyle w:val="TableParagraph"/>
              <w:spacing w:before="129"/>
              <w:ind w:left="38"/>
              <w:rPr>
                <w:sz w:val="20"/>
              </w:rPr>
            </w:pPr>
            <w:r>
              <w:rPr>
                <w:sz w:val="20"/>
              </w:rPr>
              <w:t>May react on contact with air, heat, light or water</w:t>
            </w:r>
          </w:p>
        </w:tc>
      </w:tr>
      <w:tr w:rsidR="001F2267">
        <w:trPr>
          <w:trHeight w:val="512"/>
        </w:trPr>
        <w:tc>
          <w:tcPr>
            <w:tcW w:w="3216" w:type="dxa"/>
          </w:tcPr>
          <w:p w:rsidR="001F2267" w:rsidRDefault="001A669E">
            <w:pPr>
              <w:pStyle w:val="TableParagraph"/>
              <w:spacing w:before="150"/>
              <w:ind w:left="38"/>
              <w:rPr>
                <w:sz w:val="20"/>
              </w:rPr>
            </w:pPr>
            <w:r>
              <w:rPr>
                <w:sz w:val="20"/>
              </w:rPr>
              <w:t>Diethyl Ether</w:t>
            </w:r>
            <w:r>
              <w:rPr>
                <w:sz w:val="20"/>
                <w:vertAlign w:val="superscript"/>
              </w:rPr>
              <w:t>10</w:t>
            </w:r>
          </w:p>
        </w:tc>
        <w:tc>
          <w:tcPr>
            <w:tcW w:w="7303" w:type="dxa"/>
          </w:tcPr>
          <w:p w:rsidR="001F2267" w:rsidRDefault="001A669E">
            <w:pPr>
              <w:pStyle w:val="TableParagraph"/>
              <w:spacing w:before="129"/>
              <w:ind w:left="38"/>
              <w:rPr>
                <w:sz w:val="20"/>
              </w:rPr>
            </w:pPr>
            <w:r>
              <w:rPr>
                <w:sz w:val="20"/>
              </w:rPr>
              <w:t>Severe fire and explosion hazard</w:t>
            </w:r>
          </w:p>
        </w:tc>
        <w:tc>
          <w:tcPr>
            <w:tcW w:w="4399" w:type="dxa"/>
          </w:tcPr>
          <w:p w:rsidR="001F2267" w:rsidRDefault="001A669E">
            <w:pPr>
              <w:pStyle w:val="TableParagraph"/>
              <w:spacing w:before="6"/>
              <w:ind w:left="38"/>
              <w:rPr>
                <w:sz w:val="20"/>
              </w:rPr>
            </w:pPr>
            <w:r>
              <w:rPr>
                <w:sz w:val="20"/>
              </w:rPr>
              <w:t>Dispose of within 12 months of receipt, or 6</w:t>
            </w:r>
          </w:p>
          <w:p w:rsidR="001F2267" w:rsidRDefault="001A669E">
            <w:pPr>
              <w:pStyle w:val="TableParagraph"/>
              <w:spacing w:before="17"/>
              <w:ind w:left="38"/>
              <w:rPr>
                <w:sz w:val="20"/>
              </w:rPr>
            </w:pPr>
            <w:r>
              <w:rPr>
                <w:sz w:val="20"/>
              </w:rPr>
              <w:t>months of opening, whichever is shorter</w:t>
            </w:r>
          </w:p>
        </w:tc>
      </w:tr>
      <w:tr w:rsidR="001F2267">
        <w:trPr>
          <w:trHeight w:val="512"/>
        </w:trPr>
        <w:tc>
          <w:tcPr>
            <w:tcW w:w="3216" w:type="dxa"/>
          </w:tcPr>
          <w:p w:rsidR="001F2267" w:rsidRDefault="001A669E">
            <w:pPr>
              <w:pStyle w:val="TableParagraph"/>
              <w:spacing w:before="150"/>
              <w:ind w:left="38"/>
              <w:rPr>
                <w:sz w:val="20"/>
              </w:rPr>
            </w:pPr>
            <w:r>
              <w:rPr>
                <w:sz w:val="20"/>
              </w:rPr>
              <w:t>Hydrofluoric Acid</w:t>
            </w:r>
            <w:r>
              <w:rPr>
                <w:sz w:val="20"/>
                <w:vertAlign w:val="superscript"/>
              </w:rPr>
              <w:t>10</w:t>
            </w:r>
          </w:p>
        </w:tc>
        <w:tc>
          <w:tcPr>
            <w:tcW w:w="7303" w:type="dxa"/>
          </w:tcPr>
          <w:p w:rsidR="001F2267" w:rsidRDefault="001A669E">
            <w:pPr>
              <w:pStyle w:val="TableParagraph"/>
              <w:spacing w:before="129"/>
              <w:ind w:left="37"/>
              <w:rPr>
                <w:sz w:val="20"/>
              </w:rPr>
            </w:pPr>
            <w:r>
              <w:rPr>
                <w:sz w:val="20"/>
              </w:rPr>
              <w:t>Exposures greater than 25 sq. in. of body surface area may be fatal</w:t>
            </w:r>
          </w:p>
        </w:tc>
        <w:tc>
          <w:tcPr>
            <w:tcW w:w="4399" w:type="dxa"/>
          </w:tcPr>
          <w:p w:rsidR="001F2267" w:rsidRDefault="001A669E">
            <w:pPr>
              <w:pStyle w:val="TableParagraph"/>
              <w:spacing w:before="6"/>
              <w:ind w:left="38"/>
              <w:rPr>
                <w:sz w:val="20"/>
              </w:rPr>
            </w:pPr>
            <w:r>
              <w:rPr>
                <w:sz w:val="20"/>
              </w:rPr>
              <w:t>Call the safety officer immediately in the event of</w:t>
            </w:r>
          </w:p>
          <w:p w:rsidR="001F2267" w:rsidRDefault="001A669E">
            <w:pPr>
              <w:pStyle w:val="TableParagraph"/>
              <w:spacing w:before="17"/>
              <w:ind w:left="38"/>
              <w:rPr>
                <w:sz w:val="20"/>
              </w:rPr>
            </w:pPr>
            <w:r>
              <w:rPr>
                <w:sz w:val="20"/>
              </w:rPr>
              <w:t>a spill</w:t>
            </w:r>
          </w:p>
        </w:tc>
      </w:tr>
      <w:tr w:rsidR="001F2267">
        <w:trPr>
          <w:trHeight w:val="512"/>
        </w:trPr>
        <w:tc>
          <w:tcPr>
            <w:tcW w:w="3216" w:type="dxa"/>
          </w:tcPr>
          <w:p w:rsidR="001F2267" w:rsidRDefault="001A669E">
            <w:pPr>
              <w:pStyle w:val="TableParagraph"/>
              <w:spacing w:before="150"/>
              <w:ind w:left="38"/>
              <w:rPr>
                <w:sz w:val="20"/>
              </w:rPr>
            </w:pPr>
            <w:r>
              <w:rPr>
                <w:sz w:val="20"/>
              </w:rPr>
              <w:t>Hydrazines</w:t>
            </w:r>
            <w:r>
              <w:rPr>
                <w:sz w:val="20"/>
                <w:vertAlign w:val="superscript"/>
              </w:rPr>
              <w:t>8</w:t>
            </w:r>
            <w:r>
              <w:rPr>
                <w:sz w:val="20"/>
              </w:rPr>
              <w:t xml:space="preserve"> (N2H4)</w:t>
            </w:r>
          </w:p>
        </w:tc>
        <w:tc>
          <w:tcPr>
            <w:tcW w:w="7303" w:type="dxa"/>
          </w:tcPr>
          <w:p w:rsidR="001F2267" w:rsidRDefault="001A669E">
            <w:pPr>
              <w:pStyle w:val="TableParagraph"/>
              <w:spacing w:before="6"/>
              <w:ind w:left="37"/>
              <w:rPr>
                <w:sz w:val="20"/>
              </w:rPr>
            </w:pPr>
            <w:r>
              <w:rPr>
                <w:sz w:val="20"/>
              </w:rPr>
              <w:t>Very hazardous and extremely reactive and many are carcinogens. Hazardous by</w:t>
            </w:r>
          </w:p>
          <w:p w:rsidR="001F2267" w:rsidRDefault="001A669E">
            <w:pPr>
              <w:pStyle w:val="TableParagraph"/>
              <w:spacing w:before="17"/>
              <w:ind w:left="37"/>
              <w:rPr>
                <w:sz w:val="20"/>
              </w:rPr>
            </w:pPr>
            <w:r>
              <w:rPr>
                <w:sz w:val="20"/>
              </w:rPr>
              <w:t>definition of OSHA: 29 CFR 1910.1200</w:t>
            </w:r>
          </w:p>
        </w:tc>
        <w:tc>
          <w:tcPr>
            <w:tcW w:w="4399" w:type="dxa"/>
          </w:tcPr>
          <w:p w:rsidR="001F2267" w:rsidRDefault="001A669E">
            <w:pPr>
              <w:pStyle w:val="TableParagraph"/>
              <w:spacing w:before="6"/>
              <w:ind w:left="38"/>
              <w:rPr>
                <w:sz w:val="20"/>
              </w:rPr>
            </w:pPr>
            <w:r>
              <w:rPr>
                <w:sz w:val="20"/>
              </w:rPr>
              <w:t>Keep locked up and away from heat, source of</w:t>
            </w:r>
          </w:p>
          <w:p w:rsidR="001F2267" w:rsidRDefault="001A669E">
            <w:pPr>
              <w:pStyle w:val="TableParagraph"/>
              <w:spacing w:before="17"/>
              <w:ind w:left="38"/>
              <w:rPr>
                <w:sz w:val="20"/>
              </w:rPr>
            </w:pPr>
            <w:proofErr w:type="gramStart"/>
            <w:r>
              <w:rPr>
                <w:sz w:val="20"/>
              </w:rPr>
              <w:t>ignite</w:t>
            </w:r>
            <w:proofErr w:type="gramEnd"/>
            <w:r>
              <w:rPr>
                <w:sz w:val="20"/>
              </w:rPr>
              <w:t>, direct sunlight. Keep container dry.</w:t>
            </w:r>
          </w:p>
        </w:tc>
      </w:tr>
      <w:tr w:rsidR="001F2267">
        <w:trPr>
          <w:trHeight w:val="512"/>
        </w:trPr>
        <w:tc>
          <w:tcPr>
            <w:tcW w:w="3216" w:type="dxa"/>
          </w:tcPr>
          <w:p w:rsidR="001F2267" w:rsidRDefault="001A669E">
            <w:pPr>
              <w:pStyle w:val="TableParagraph"/>
              <w:spacing w:before="150"/>
              <w:ind w:left="38"/>
              <w:rPr>
                <w:sz w:val="20"/>
              </w:rPr>
            </w:pPr>
            <w:r>
              <w:rPr>
                <w:sz w:val="20"/>
              </w:rPr>
              <w:t>Hydrogen Peroxides</w:t>
            </w:r>
            <w:r>
              <w:rPr>
                <w:sz w:val="20"/>
                <w:vertAlign w:val="superscript"/>
              </w:rPr>
              <w:t>3</w:t>
            </w:r>
            <w:r>
              <w:rPr>
                <w:sz w:val="20"/>
              </w:rPr>
              <w:t xml:space="preserve"> (30%)</w:t>
            </w:r>
          </w:p>
        </w:tc>
        <w:tc>
          <w:tcPr>
            <w:tcW w:w="7303" w:type="dxa"/>
          </w:tcPr>
          <w:p w:rsidR="001F2267" w:rsidRDefault="001A669E">
            <w:pPr>
              <w:pStyle w:val="TableParagraph"/>
              <w:spacing w:before="6"/>
              <w:ind w:left="37"/>
              <w:rPr>
                <w:sz w:val="20"/>
              </w:rPr>
            </w:pPr>
            <w:r>
              <w:rPr>
                <w:sz w:val="20"/>
              </w:rPr>
              <w:t>Severely corrosive and cause severe skin burns and eye damage. May cause fire</w:t>
            </w:r>
          </w:p>
          <w:p w:rsidR="001F2267" w:rsidRDefault="001A669E">
            <w:pPr>
              <w:pStyle w:val="TableParagraph"/>
              <w:spacing w:before="17"/>
              <w:ind w:left="37"/>
              <w:rPr>
                <w:sz w:val="20"/>
              </w:rPr>
            </w:pPr>
            <w:proofErr w:type="gramStart"/>
            <w:r>
              <w:rPr>
                <w:sz w:val="20"/>
              </w:rPr>
              <w:t>or</w:t>
            </w:r>
            <w:proofErr w:type="gramEnd"/>
            <w:r>
              <w:rPr>
                <w:sz w:val="20"/>
              </w:rPr>
              <w:t xml:space="preserve"> explosions.</w:t>
            </w:r>
          </w:p>
        </w:tc>
        <w:tc>
          <w:tcPr>
            <w:tcW w:w="4399" w:type="dxa"/>
          </w:tcPr>
          <w:p w:rsidR="001F2267" w:rsidRDefault="001A669E">
            <w:pPr>
              <w:pStyle w:val="TableParagraph"/>
              <w:spacing w:before="6"/>
              <w:ind w:left="38"/>
              <w:rPr>
                <w:sz w:val="20"/>
              </w:rPr>
            </w:pPr>
            <w:r>
              <w:rPr>
                <w:sz w:val="20"/>
              </w:rPr>
              <w:t>Keep away from heat, sparks, open flames, and</w:t>
            </w:r>
          </w:p>
          <w:p w:rsidR="001F2267" w:rsidRDefault="001A669E">
            <w:pPr>
              <w:pStyle w:val="TableParagraph"/>
              <w:spacing w:before="17"/>
              <w:ind w:left="38"/>
              <w:rPr>
                <w:sz w:val="20"/>
              </w:rPr>
            </w:pPr>
            <w:proofErr w:type="gramStart"/>
            <w:r>
              <w:rPr>
                <w:sz w:val="20"/>
              </w:rPr>
              <w:t>hot</w:t>
            </w:r>
            <w:proofErr w:type="gramEnd"/>
            <w:r>
              <w:rPr>
                <w:sz w:val="20"/>
              </w:rPr>
              <w:t xml:space="preserve"> surfaces. No smoking</w:t>
            </w:r>
          </w:p>
        </w:tc>
      </w:tr>
      <w:tr w:rsidR="001F2267">
        <w:trPr>
          <w:trHeight w:val="822"/>
        </w:trPr>
        <w:tc>
          <w:tcPr>
            <w:tcW w:w="3216" w:type="dxa"/>
          </w:tcPr>
          <w:p w:rsidR="001F2267" w:rsidRDefault="001F2267">
            <w:pPr>
              <w:pStyle w:val="TableParagraph"/>
              <w:spacing w:before="7"/>
              <w:rPr>
                <w:b/>
                <w:sz w:val="26"/>
              </w:rPr>
            </w:pPr>
          </w:p>
          <w:p w:rsidR="001F2267" w:rsidRDefault="001A669E">
            <w:pPr>
              <w:pStyle w:val="TableParagraph"/>
              <w:ind w:left="38"/>
              <w:rPr>
                <w:sz w:val="20"/>
              </w:rPr>
            </w:pPr>
            <w:r>
              <w:rPr>
                <w:sz w:val="20"/>
              </w:rPr>
              <w:t>Mercury and all of its compounds</w:t>
            </w:r>
            <w:r>
              <w:rPr>
                <w:sz w:val="20"/>
                <w:vertAlign w:val="superscript"/>
              </w:rPr>
              <w:t>8</w:t>
            </w:r>
          </w:p>
        </w:tc>
        <w:tc>
          <w:tcPr>
            <w:tcW w:w="7303" w:type="dxa"/>
          </w:tcPr>
          <w:p w:rsidR="001F2267" w:rsidRDefault="001A669E">
            <w:pPr>
              <w:pStyle w:val="TableParagraph"/>
              <w:spacing w:before="160" w:line="256" w:lineRule="auto"/>
              <w:ind w:left="38" w:right="50"/>
              <w:rPr>
                <w:sz w:val="20"/>
              </w:rPr>
            </w:pPr>
            <w:r>
              <w:rPr>
                <w:sz w:val="20"/>
              </w:rPr>
              <w:t>Highly toxic chemical, toxic effects include damage to the brain, kidneys and lungs</w:t>
            </w:r>
          </w:p>
        </w:tc>
        <w:tc>
          <w:tcPr>
            <w:tcW w:w="4399" w:type="dxa"/>
          </w:tcPr>
          <w:p w:rsidR="001F2267" w:rsidRDefault="001A669E">
            <w:pPr>
              <w:pStyle w:val="TableParagraph"/>
              <w:spacing w:before="138" w:line="302" w:lineRule="auto"/>
              <w:ind w:left="38"/>
              <w:rPr>
                <w:sz w:val="20"/>
              </w:rPr>
            </w:pPr>
            <w:r>
              <w:rPr>
                <w:sz w:val="20"/>
              </w:rPr>
              <w:t>No primary or secondary school in New York state may use or purchase elemental mercury</w:t>
            </w:r>
            <w:r>
              <w:rPr>
                <w:sz w:val="20"/>
                <w:vertAlign w:val="superscript"/>
              </w:rPr>
              <w:t>11</w:t>
            </w:r>
          </w:p>
        </w:tc>
      </w:tr>
      <w:tr w:rsidR="001F2267">
        <w:trPr>
          <w:trHeight w:val="512"/>
        </w:trPr>
        <w:tc>
          <w:tcPr>
            <w:tcW w:w="3216" w:type="dxa"/>
          </w:tcPr>
          <w:p w:rsidR="001F2267" w:rsidRDefault="001A669E">
            <w:pPr>
              <w:pStyle w:val="TableParagraph"/>
              <w:spacing w:before="150"/>
              <w:ind w:left="38"/>
              <w:rPr>
                <w:sz w:val="20"/>
              </w:rPr>
            </w:pPr>
            <w:r>
              <w:rPr>
                <w:sz w:val="20"/>
              </w:rPr>
              <w:t>Organic Peroxides</w:t>
            </w:r>
            <w:r>
              <w:rPr>
                <w:sz w:val="20"/>
                <w:vertAlign w:val="superscript"/>
              </w:rPr>
              <w:t>8</w:t>
            </w:r>
          </w:p>
        </w:tc>
        <w:tc>
          <w:tcPr>
            <w:tcW w:w="7303" w:type="dxa"/>
          </w:tcPr>
          <w:p w:rsidR="001F2267" w:rsidRDefault="001A669E">
            <w:pPr>
              <w:pStyle w:val="TableParagraph"/>
              <w:spacing w:before="129"/>
              <w:ind w:left="38"/>
              <w:rPr>
                <w:sz w:val="20"/>
              </w:rPr>
            </w:pPr>
            <w:r>
              <w:rPr>
                <w:sz w:val="20"/>
              </w:rPr>
              <w:t>Highly flammable and explosive</w:t>
            </w:r>
          </w:p>
        </w:tc>
        <w:tc>
          <w:tcPr>
            <w:tcW w:w="4399" w:type="dxa"/>
          </w:tcPr>
          <w:p w:rsidR="001F2267" w:rsidRDefault="001A669E">
            <w:pPr>
              <w:pStyle w:val="TableParagraph"/>
              <w:spacing w:before="6"/>
              <w:ind w:left="38"/>
              <w:rPr>
                <w:sz w:val="20"/>
              </w:rPr>
            </w:pPr>
            <w:r>
              <w:rPr>
                <w:sz w:val="20"/>
              </w:rPr>
              <w:t>Sensitive to heat, shock, fraction or contact with</w:t>
            </w:r>
          </w:p>
          <w:p w:rsidR="001F2267" w:rsidRDefault="001A669E">
            <w:pPr>
              <w:pStyle w:val="TableParagraph"/>
              <w:spacing w:before="17"/>
              <w:ind w:left="38"/>
              <w:rPr>
                <w:sz w:val="20"/>
              </w:rPr>
            </w:pPr>
            <w:r>
              <w:rPr>
                <w:sz w:val="20"/>
              </w:rPr>
              <w:t>combustible materials</w:t>
            </w:r>
          </w:p>
        </w:tc>
      </w:tr>
      <w:tr w:rsidR="001F2267">
        <w:trPr>
          <w:trHeight w:val="1043"/>
        </w:trPr>
        <w:tc>
          <w:tcPr>
            <w:tcW w:w="3216" w:type="dxa"/>
          </w:tcPr>
          <w:p w:rsidR="001F2267" w:rsidRDefault="001F2267">
            <w:pPr>
              <w:pStyle w:val="TableParagraph"/>
              <w:spacing w:before="2"/>
              <w:rPr>
                <w:b/>
                <w:sz w:val="36"/>
              </w:rPr>
            </w:pPr>
          </w:p>
          <w:p w:rsidR="001F2267" w:rsidRDefault="001A669E">
            <w:pPr>
              <w:pStyle w:val="TableParagraph"/>
              <w:spacing w:before="1"/>
              <w:ind w:left="38"/>
              <w:rPr>
                <w:sz w:val="20"/>
              </w:rPr>
            </w:pPr>
            <w:proofErr w:type="spellStart"/>
            <w:r>
              <w:rPr>
                <w:sz w:val="20"/>
              </w:rPr>
              <w:t>Perchloric</w:t>
            </w:r>
            <w:proofErr w:type="spellEnd"/>
            <w:r>
              <w:rPr>
                <w:sz w:val="20"/>
              </w:rPr>
              <w:t xml:space="preserve"> Acid</w:t>
            </w:r>
            <w:r>
              <w:rPr>
                <w:sz w:val="20"/>
                <w:vertAlign w:val="superscript"/>
              </w:rPr>
              <w:t>10</w:t>
            </w:r>
          </w:p>
        </w:tc>
        <w:tc>
          <w:tcPr>
            <w:tcW w:w="7303" w:type="dxa"/>
          </w:tcPr>
          <w:p w:rsidR="001F2267" w:rsidRDefault="001A669E">
            <w:pPr>
              <w:pStyle w:val="TableParagraph"/>
              <w:spacing w:before="23" w:line="256" w:lineRule="auto"/>
              <w:ind w:left="38"/>
              <w:rPr>
                <w:sz w:val="20"/>
              </w:rPr>
            </w:pPr>
            <w:r>
              <w:rPr>
                <w:sz w:val="20"/>
              </w:rPr>
              <w:t xml:space="preserve">Dedicated, specially-constructed chemical fume hoods are needed for </w:t>
            </w:r>
            <w:proofErr w:type="spellStart"/>
            <w:r>
              <w:rPr>
                <w:sz w:val="20"/>
              </w:rPr>
              <w:t>perchloric</w:t>
            </w:r>
            <w:proofErr w:type="spellEnd"/>
            <w:r>
              <w:rPr>
                <w:sz w:val="20"/>
              </w:rPr>
              <w:t xml:space="preserve"> acid use. When </w:t>
            </w:r>
            <w:proofErr w:type="spellStart"/>
            <w:r>
              <w:rPr>
                <w:sz w:val="20"/>
              </w:rPr>
              <w:t>perchloric</w:t>
            </w:r>
            <w:proofErr w:type="spellEnd"/>
            <w:r>
              <w:rPr>
                <w:sz w:val="20"/>
              </w:rPr>
              <w:t xml:space="preserve"> acid condenses on hood, duct, and fan components, condensed vapors can react with hood gaskets, greases and other collected materials to form explosive </w:t>
            </w:r>
            <w:proofErr w:type="spellStart"/>
            <w:r>
              <w:rPr>
                <w:sz w:val="20"/>
              </w:rPr>
              <w:t>perchloric</w:t>
            </w:r>
            <w:proofErr w:type="spellEnd"/>
            <w:r>
              <w:rPr>
                <w:sz w:val="20"/>
              </w:rPr>
              <w:t xml:space="preserve"> salts and esters</w:t>
            </w:r>
          </w:p>
        </w:tc>
        <w:tc>
          <w:tcPr>
            <w:tcW w:w="4399" w:type="dxa"/>
          </w:tcPr>
          <w:p w:rsidR="001F2267" w:rsidRDefault="001A669E">
            <w:pPr>
              <w:pStyle w:val="TableParagraph"/>
              <w:spacing w:before="148" w:line="256" w:lineRule="auto"/>
              <w:ind w:left="38" w:right="25"/>
              <w:rPr>
                <w:sz w:val="20"/>
              </w:rPr>
            </w:pPr>
            <w:proofErr w:type="spellStart"/>
            <w:r>
              <w:rPr>
                <w:sz w:val="20"/>
              </w:rPr>
              <w:t>Perchloric</w:t>
            </w:r>
            <w:proofErr w:type="spellEnd"/>
            <w:r>
              <w:rPr>
                <w:sz w:val="20"/>
              </w:rPr>
              <w:t xml:space="preserve"> acid fume hoods must be used only for </w:t>
            </w:r>
            <w:proofErr w:type="spellStart"/>
            <w:r>
              <w:rPr>
                <w:sz w:val="20"/>
              </w:rPr>
              <w:t>perchloric</w:t>
            </w:r>
            <w:proofErr w:type="spellEnd"/>
            <w:r>
              <w:rPr>
                <w:sz w:val="20"/>
              </w:rPr>
              <w:t xml:space="preserve"> acid applications, and should</w:t>
            </w:r>
            <w:r>
              <w:rPr>
                <w:spacing w:val="-40"/>
                <w:sz w:val="20"/>
              </w:rPr>
              <w:t xml:space="preserve"> </w:t>
            </w:r>
            <w:r>
              <w:rPr>
                <w:sz w:val="20"/>
              </w:rPr>
              <w:t>never be used for other chemical</w:t>
            </w:r>
            <w:r>
              <w:rPr>
                <w:spacing w:val="-7"/>
                <w:sz w:val="20"/>
              </w:rPr>
              <w:t xml:space="preserve"> </w:t>
            </w:r>
            <w:r>
              <w:rPr>
                <w:sz w:val="20"/>
              </w:rPr>
              <w:t>procedures</w:t>
            </w:r>
          </w:p>
        </w:tc>
      </w:tr>
      <w:tr w:rsidR="001F2267">
        <w:trPr>
          <w:trHeight w:val="512"/>
        </w:trPr>
        <w:tc>
          <w:tcPr>
            <w:tcW w:w="3216" w:type="dxa"/>
          </w:tcPr>
          <w:p w:rsidR="001F2267" w:rsidRDefault="001A669E">
            <w:pPr>
              <w:pStyle w:val="TableParagraph"/>
              <w:spacing w:before="150"/>
              <w:ind w:left="38"/>
              <w:rPr>
                <w:sz w:val="20"/>
              </w:rPr>
            </w:pPr>
            <w:r>
              <w:rPr>
                <w:sz w:val="20"/>
              </w:rPr>
              <w:t>Picric Acid</w:t>
            </w:r>
            <w:r>
              <w:rPr>
                <w:sz w:val="20"/>
                <w:vertAlign w:val="superscript"/>
              </w:rPr>
              <w:t>10</w:t>
            </w:r>
          </w:p>
        </w:tc>
        <w:tc>
          <w:tcPr>
            <w:tcW w:w="7303" w:type="dxa"/>
          </w:tcPr>
          <w:p w:rsidR="001F2267" w:rsidRDefault="001A669E">
            <w:pPr>
              <w:pStyle w:val="TableParagraph"/>
              <w:spacing w:before="6"/>
              <w:ind w:left="38"/>
              <w:rPr>
                <w:sz w:val="20"/>
              </w:rPr>
            </w:pPr>
            <w:r>
              <w:rPr>
                <w:sz w:val="20"/>
              </w:rPr>
              <w:t>Picric acid is a high-powered explosive when allowed to dehydrate, and can form</w:t>
            </w:r>
          </w:p>
          <w:p w:rsidR="001F2267" w:rsidRDefault="001A669E">
            <w:pPr>
              <w:pStyle w:val="TableParagraph"/>
              <w:spacing w:before="17"/>
              <w:ind w:left="38"/>
              <w:rPr>
                <w:sz w:val="20"/>
              </w:rPr>
            </w:pPr>
            <w:r>
              <w:rPr>
                <w:sz w:val="20"/>
              </w:rPr>
              <w:t xml:space="preserve">shock sensitive metal </w:t>
            </w:r>
            <w:proofErr w:type="spellStart"/>
            <w:r>
              <w:rPr>
                <w:sz w:val="20"/>
              </w:rPr>
              <w:t>picrates</w:t>
            </w:r>
            <w:proofErr w:type="spellEnd"/>
            <w:r>
              <w:rPr>
                <w:sz w:val="20"/>
              </w:rPr>
              <w:t xml:space="preserve"> when in contact with metals</w:t>
            </w:r>
          </w:p>
        </w:tc>
        <w:tc>
          <w:tcPr>
            <w:tcW w:w="4399" w:type="dxa"/>
          </w:tcPr>
          <w:p w:rsidR="001F2267" w:rsidRDefault="001A669E">
            <w:pPr>
              <w:pStyle w:val="TableParagraph"/>
              <w:spacing w:line="215" w:lineRule="exact"/>
              <w:ind w:left="38"/>
              <w:rPr>
                <w:sz w:val="20"/>
              </w:rPr>
            </w:pPr>
            <w:r>
              <w:rPr>
                <w:sz w:val="20"/>
              </w:rPr>
              <w:t>Need to be disposed by local bomb squad or fire</w:t>
            </w:r>
          </w:p>
          <w:p w:rsidR="001F2267" w:rsidRDefault="001A669E">
            <w:pPr>
              <w:pStyle w:val="TableParagraph"/>
              <w:spacing w:before="60" w:line="218" w:lineRule="exact"/>
              <w:ind w:left="38"/>
              <w:rPr>
                <w:sz w:val="20"/>
              </w:rPr>
            </w:pPr>
            <w:r>
              <w:rPr>
                <w:sz w:val="20"/>
              </w:rPr>
              <w:t>department</w:t>
            </w:r>
            <w:r>
              <w:rPr>
                <w:sz w:val="20"/>
                <w:vertAlign w:val="superscript"/>
              </w:rPr>
              <w:t>3</w:t>
            </w:r>
          </w:p>
        </w:tc>
      </w:tr>
      <w:tr w:rsidR="001F2267">
        <w:trPr>
          <w:trHeight w:val="512"/>
        </w:trPr>
        <w:tc>
          <w:tcPr>
            <w:tcW w:w="3216" w:type="dxa"/>
          </w:tcPr>
          <w:p w:rsidR="001F2267" w:rsidRDefault="001A669E">
            <w:pPr>
              <w:pStyle w:val="TableParagraph"/>
              <w:spacing w:before="150"/>
              <w:ind w:left="38"/>
              <w:rPr>
                <w:sz w:val="20"/>
              </w:rPr>
            </w:pPr>
            <w:r>
              <w:rPr>
                <w:sz w:val="20"/>
              </w:rPr>
              <w:t>Phosphorus (White, Yellow)</w:t>
            </w:r>
            <w:r>
              <w:rPr>
                <w:sz w:val="20"/>
                <w:vertAlign w:val="superscript"/>
              </w:rPr>
              <w:t>8</w:t>
            </w:r>
          </w:p>
        </w:tc>
        <w:tc>
          <w:tcPr>
            <w:tcW w:w="7303" w:type="dxa"/>
          </w:tcPr>
          <w:p w:rsidR="001F2267" w:rsidRDefault="001A669E">
            <w:pPr>
              <w:pStyle w:val="TableParagraph"/>
              <w:spacing w:before="6"/>
              <w:ind w:left="38"/>
              <w:rPr>
                <w:sz w:val="20"/>
              </w:rPr>
            </w:pPr>
            <w:r>
              <w:rPr>
                <w:sz w:val="20"/>
              </w:rPr>
              <w:t>White or Yellow form is Pyrophoric and a poison. (Red form is not pyrophoric but</w:t>
            </w:r>
          </w:p>
          <w:p w:rsidR="001F2267" w:rsidRDefault="001A669E">
            <w:pPr>
              <w:pStyle w:val="TableParagraph"/>
              <w:spacing w:before="17"/>
              <w:ind w:left="38"/>
              <w:rPr>
                <w:sz w:val="20"/>
              </w:rPr>
            </w:pPr>
            <w:r>
              <w:rPr>
                <w:sz w:val="20"/>
              </w:rPr>
              <w:t>is very flammable and can react explosively with oxidizing agents)</w:t>
            </w:r>
          </w:p>
        </w:tc>
        <w:tc>
          <w:tcPr>
            <w:tcW w:w="4399" w:type="dxa"/>
          </w:tcPr>
          <w:p w:rsidR="001F2267" w:rsidRDefault="001A669E">
            <w:pPr>
              <w:pStyle w:val="TableParagraph"/>
              <w:spacing w:before="6"/>
              <w:ind w:left="38"/>
              <w:rPr>
                <w:sz w:val="20"/>
              </w:rPr>
            </w:pPr>
            <w:r>
              <w:rPr>
                <w:sz w:val="20"/>
              </w:rPr>
              <w:t>Store under water and an inert gas. Handle</w:t>
            </w:r>
          </w:p>
          <w:p w:rsidR="001F2267" w:rsidRDefault="001A669E">
            <w:pPr>
              <w:pStyle w:val="TableParagraph"/>
              <w:spacing w:before="17"/>
              <w:ind w:left="38"/>
              <w:rPr>
                <w:sz w:val="20"/>
              </w:rPr>
            </w:pPr>
            <w:proofErr w:type="gramStart"/>
            <w:r>
              <w:rPr>
                <w:sz w:val="20"/>
              </w:rPr>
              <w:t>under</w:t>
            </w:r>
            <w:proofErr w:type="gramEnd"/>
            <w:r>
              <w:rPr>
                <w:sz w:val="20"/>
              </w:rPr>
              <w:t xml:space="preserve"> water. Avoid breathing vapors</w:t>
            </w:r>
          </w:p>
        </w:tc>
      </w:tr>
      <w:tr w:rsidR="001F2267">
        <w:trPr>
          <w:trHeight w:val="939"/>
        </w:trPr>
        <w:tc>
          <w:tcPr>
            <w:tcW w:w="3216" w:type="dxa"/>
          </w:tcPr>
          <w:p w:rsidR="001F2267" w:rsidRDefault="001F2267">
            <w:pPr>
              <w:pStyle w:val="TableParagraph"/>
              <w:spacing w:before="7"/>
              <w:rPr>
                <w:b/>
                <w:sz w:val="31"/>
              </w:rPr>
            </w:pPr>
          </w:p>
          <w:p w:rsidR="001F2267" w:rsidRDefault="001A669E">
            <w:pPr>
              <w:pStyle w:val="TableParagraph"/>
              <w:ind w:left="37"/>
              <w:rPr>
                <w:sz w:val="20"/>
              </w:rPr>
            </w:pPr>
            <w:r>
              <w:rPr>
                <w:sz w:val="20"/>
              </w:rPr>
              <w:t>Potassium Metal</w:t>
            </w:r>
            <w:r>
              <w:rPr>
                <w:sz w:val="20"/>
                <w:vertAlign w:val="superscript"/>
              </w:rPr>
              <w:t>3</w:t>
            </w:r>
          </w:p>
        </w:tc>
        <w:tc>
          <w:tcPr>
            <w:tcW w:w="7303" w:type="dxa"/>
          </w:tcPr>
          <w:p w:rsidR="001F2267" w:rsidRDefault="001A669E">
            <w:pPr>
              <w:pStyle w:val="TableParagraph"/>
              <w:spacing w:before="95" w:line="256" w:lineRule="auto"/>
              <w:ind w:left="38" w:right="15"/>
              <w:rPr>
                <w:sz w:val="20"/>
              </w:rPr>
            </w:pPr>
            <w:r>
              <w:rPr>
                <w:sz w:val="20"/>
              </w:rPr>
              <w:t xml:space="preserve">Extremely dangerous in contact with moisture and water. It spontaneously </w:t>
            </w:r>
            <w:proofErr w:type="gramStart"/>
            <w:r>
              <w:rPr>
                <w:sz w:val="20"/>
              </w:rPr>
              <w:t>ignite</w:t>
            </w:r>
            <w:proofErr w:type="gramEnd"/>
            <w:r>
              <w:rPr>
                <w:sz w:val="20"/>
              </w:rPr>
              <w:t xml:space="preserve"> when exposed to air or oxygen, can cause severe skin burns. Cutting or handling yellow-coated potassium (old, peroxide coatings) may result in a violent explosion</w:t>
            </w:r>
          </w:p>
        </w:tc>
        <w:tc>
          <w:tcPr>
            <w:tcW w:w="4399" w:type="dxa"/>
          </w:tcPr>
          <w:p w:rsidR="001F2267" w:rsidRDefault="001F2267">
            <w:pPr>
              <w:pStyle w:val="TableParagraph"/>
              <w:spacing w:before="8"/>
              <w:rPr>
                <w:b/>
                <w:sz w:val="29"/>
              </w:rPr>
            </w:pPr>
          </w:p>
          <w:p w:rsidR="001F2267" w:rsidRDefault="001A669E">
            <w:pPr>
              <w:pStyle w:val="TableParagraph"/>
              <w:spacing w:before="1"/>
              <w:ind w:left="38"/>
              <w:rPr>
                <w:sz w:val="20"/>
              </w:rPr>
            </w:pPr>
            <w:r>
              <w:rPr>
                <w:sz w:val="20"/>
              </w:rPr>
              <w:t>Must be stored under dry oil</w:t>
            </w:r>
          </w:p>
        </w:tc>
      </w:tr>
      <w:tr w:rsidR="001F2267">
        <w:trPr>
          <w:trHeight w:val="736"/>
        </w:trPr>
        <w:tc>
          <w:tcPr>
            <w:tcW w:w="3216" w:type="dxa"/>
          </w:tcPr>
          <w:p w:rsidR="001F2267" w:rsidRDefault="001F2267">
            <w:pPr>
              <w:pStyle w:val="TableParagraph"/>
              <w:spacing w:before="10"/>
              <w:rPr>
                <w:b/>
              </w:rPr>
            </w:pPr>
          </w:p>
          <w:p w:rsidR="001F2267" w:rsidRDefault="001A669E">
            <w:pPr>
              <w:pStyle w:val="TableParagraph"/>
              <w:ind w:left="38"/>
              <w:rPr>
                <w:sz w:val="20"/>
              </w:rPr>
            </w:pPr>
            <w:r>
              <w:rPr>
                <w:sz w:val="20"/>
              </w:rPr>
              <w:t>Sodium Metal</w:t>
            </w:r>
            <w:r>
              <w:rPr>
                <w:sz w:val="20"/>
                <w:vertAlign w:val="superscript"/>
              </w:rPr>
              <w:t>3</w:t>
            </w:r>
          </w:p>
        </w:tc>
        <w:tc>
          <w:tcPr>
            <w:tcW w:w="7303" w:type="dxa"/>
          </w:tcPr>
          <w:p w:rsidR="001F2267" w:rsidRDefault="001A669E">
            <w:pPr>
              <w:pStyle w:val="TableParagraph"/>
              <w:spacing w:line="224" w:lineRule="exact"/>
              <w:ind w:left="38"/>
              <w:rPr>
                <w:sz w:val="20"/>
              </w:rPr>
            </w:pPr>
            <w:r>
              <w:rPr>
                <w:sz w:val="20"/>
              </w:rPr>
              <w:t>Dangerous when exposed to heat or flame; dangerous by reaction with moist air,</w:t>
            </w:r>
          </w:p>
          <w:p w:rsidR="001F2267" w:rsidRDefault="001A669E">
            <w:pPr>
              <w:pStyle w:val="TableParagraph"/>
              <w:spacing w:before="7" w:line="240" w:lineRule="atLeast"/>
              <w:ind w:left="38" w:right="621"/>
              <w:rPr>
                <w:sz w:val="20"/>
              </w:rPr>
            </w:pPr>
            <w:proofErr w:type="gramStart"/>
            <w:r>
              <w:rPr>
                <w:sz w:val="20"/>
              </w:rPr>
              <w:t>water</w:t>
            </w:r>
            <w:proofErr w:type="gramEnd"/>
            <w:r>
              <w:rPr>
                <w:sz w:val="20"/>
              </w:rPr>
              <w:t xml:space="preserve"> or any oxidizer. Spontaneously flammable when heated in air; reacts violently with water, producing very dangerous hydrogen gas</w:t>
            </w:r>
          </w:p>
        </w:tc>
        <w:tc>
          <w:tcPr>
            <w:tcW w:w="4399" w:type="dxa"/>
          </w:tcPr>
          <w:p w:rsidR="001F2267" w:rsidRDefault="001A669E">
            <w:pPr>
              <w:pStyle w:val="TableParagraph"/>
              <w:spacing w:before="117" w:line="256" w:lineRule="auto"/>
              <w:ind w:left="38"/>
              <w:rPr>
                <w:sz w:val="20"/>
              </w:rPr>
            </w:pPr>
            <w:r>
              <w:rPr>
                <w:sz w:val="20"/>
              </w:rPr>
              <w:t>Sodium metal must always be stored under dry mineral oil to prevent contact with moist air</w:t>
            </w:r>
          </w:p>
        </w:tc>
      </w:tr>
    </w:tbl>
    <w:p w:rsidR="001F2267" w:rsidRPr="00E637C0" w:rsidRDefault="001A669E" w:rsidP="00E637C0">
      <w:pPr>
        <w:spacing w:before="122"/>
        <w:ind w:left="163"/>
        <w:rPr>
          <w:b/>
          <w:sz w:val="20"/>
        </w:rPr>
        <w:sectPr w:rsidR="001F2267" w:rsidRPr="00E637C0">
          <w:pgSz w:w="15840" w:h="12240" w:orient="landscape"/>
          <w:pgMar w:top="920" w:right="360" w:bottom="600" w:left="300" w:header="0" w:footer="323" w:gutter="0"/>
          <w:cols w:space="720"/>
        </w:sectPr>
      </w:pPr>
      <w:r>
        <w:rPr>
          <w:b/>
          <w:sz w:val="20"/>
        </w:rPr>
        <w:t xml:space="preserve">Always </w:t>
      </w:r>
      <w:r w:rsidR="00E637C0">
        <w:rPr>
          <w:b/>
          <w:sz w:val="20"/>
        </w:rPr>
        <w:t>refer to the Safety Data Shee</w:t>
      </w:r>
      <w:bookmarkStart w:id="0" w:name="_GoBack"/>
      <w:bookmarkEnd w:id="0"/>
    </w:p>
    <w:p w:rsidR="001F2267" w:rsidRPr="00E637C0" w:rsidRDefault="001F2267" w:rsidP="00E637C0">
      <w:pPr>
        <w:tabs>
          <w:tab w:val="left" w:pos="495"/>
        </w:tabs>
        <w:rPr>
          <w:sz w:val="20"/>
        </w:rPr>
      </w:pPr>
    </w:p>
    <w:sectPr w:rsidR="001F2267" w:rsidRPr="00E637C0">
      <w:pgSz w:w="15840" w:h="12240" w:orient="landscape"/>
      <w:pgMar w:top="700" w:right="360" w:bottom="600" w:left="300" w:header="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C5" w:rsidRDefault="009C36C5">
      <w:r>
        <w:separator/>
      </w:r>
    </w:p>
  </w:endnote>
  <w:endnote w:type="continuationSeparator" w:id="0">
    <w:p w:rsidR="009C36C5" w:rsidRDefault="009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67" w:rsidRDefault="001F2267">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C5" w:rsidRDefault="009C36C5">
      <w:r>
        <w:separator/>
      </w:r>
    </w:p>
  </w:footnote>
  <w:footnote w:type="continuationSeparator" w:id="0">
    <w:p w:rsidR="009C36C5" w:rsidRDefault="009C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0DBB"/>
    <w:multiLevelType w:val="hybridMultilevel"/>
    <w:tmpl w:val="CDBE9366"/>
    <w:lvl w:ilvl="0" w:tplc="20EE9F2C">
      <w:start w:val="1"/>
      <w:numFmt w:val="decimal"/>
      <w:lvlText w:val="%1."/>
      <w:lvlJc w:val="left"/>
      <w:pPr>
        <w:ind w:left="383" w:hanging="221"/>
        <w:jc w:val="left"/>
      </w:pPr>
      <w:rPr>
        <w:rFonts w:ascii="Arial" w:eastAsia="Arial" w:hAnsi="Arial" w:cs="Arial" w:hint="default"/>
        <w:spacing w:val="-1"/>
        <w:w w:val="99"/>
        <w:sz w:val="20"/>
        <w:szCs w:val="20"/>
      </w:rPr>
    </w:lvl>
    <w:lvl w:ilvl="1" w:tplc="C1E88F6E">
      <w:numFmt w:val="bullet"/>
      <w:lvlText w:val="•"/>
      <w:lvlJc w:val="left"/>
      <w:pPr>
        <w:ind w:left="1860" w:hanging="221"/>
      </w:pPr>
      <w:rPr>
        <w:rFonts w:hint="default"/>
      </w:rPr>
    </w:lvl>
    <w:lvl w:ilvl="2" w:tplc="0838CE40">
      <w:numFmt w:val="bullet"/>
      <w:lvlText w:val="•"/>
      <w:lvlJc w:val="left"/>
      <w:pPr>
        <w:ind w:left="3340" w:hanging="221"/>
      </w:pPr>
      <w:rPr>
        <w:rFonts w:hint="default"/>
      </w:rPr>
    </w:lvl>
    <w:lvl w:ilvl="3" w:tplc="12967646">
      <w:numFmt w:val="bullet"/>
      <w:lvlText w:val="•"/>
      <w:lvlJc w:val="left"/>
      <w:pPr>
        <w:ind w:left="4820" w:hanging="221"/>
      </w:pPr>
      <w:rPr>
        <w:rFonts w:hint="default"/>
      </w:rPr>
    </w:lvl>
    <w:lvl w:ilvl="4" w:tplc="EB967F80">
      <w:numFmt w:val="bullet"/>
      <w:lvlText w:val="•"/>
      <w:lvlJc w:val="left"/>
      <w:pPr>
        <w:ind w:left="6300" w:hanging="221"/>
      </w:pPr>
      <w:rPr>
        <w:rFonts w:hint="default"/>
      </w:rPr>
    </w:lvl>
    <w:lvl w:ilvl="5" w:tplc="CE5C3E32">
      <w:numFmt w:val="bullet"/>
      <w:lvlText w:val="•"/>
      <w:lvlJc w:val="left"/>
      <w:pPr>
        <w:ind w:left="7780" w:hanging="221"/>
      </w:pPr>
      <w:rPr>
        <w:rFonts w:hint="default"/>
      </w:rPr>
    </w:lvl>
    <w:lvl w:ilvl="6" w:tplc="80BC1D44">
      <w:numFmt w:val="bullet"/>
      <w:lvlText w:val="•"/>
      <w:lvlJc w:val="left"/>
      <w:pPr>
        <w:ind w:left="9260" w:hanging="221"/>
      </w:pPr>
      <w:rPr>
        <w:rFonts w:hint="default"/>
      </w:rPr>
    </w:lvl>
    <w:lvl w:ilvl="7" w:tplc="1AD49E9E">
      <w:numFmt w:val="bullet"/>
      <w:lvlText w:val="•"/>
      <w:lvlJc w:val="left"/>
      <w:pPr>
        <w:ind w:left="10740" w:hanging="221"/>
      </w:pPr>
      <w:rPr>
        <w:rFonts w:hint="default"/>
      </w:rPr>
    </w:lvl>
    <w:lvl w:ilvl="8" w:tplc="91D89DF0">
      <w:numFmt w:val="bullet"/>
      <w:lvlText w:val="•"/>
      <w:lvlJc w:val="left"/>
      <w:pPr>
        <w:ind w:left="12220"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F2267"/>
    <w:rsid w:val="001A669E"/>
    <w:rsid w:val="001F2267"/>
    <w:rsid w:val="00716E8E"/>
    <w:rsid w:val="009C36C5"/>
    <w:rsid w:val="00E637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485"/>
      <w:outlineLvl w:val="0"/>
    </w:pPr>
    <w:rPr>
      <w:b/>
      <w:bCs/>
      <w:sz w:val="32"/>
      <w:szCs w:val="32"/>
    </w:rPr>
  </w:style>
  <w:style w:type="paragraph" w:styleId="Heading2">
    <w:name w:val="heading 2"/>
    <w:basedOn w:val="Normal"/>
    <w:uiPriority w:val="1"/>
    <w:qFormat/>
    <w:pPr>
      <w:spacing w:before="92"/>
      <w:ind w:left="168"/>
      <w:outlineLvl w:val="1"/>
    </w:pPr>
    <w:rPr>
      <w:b/>
      <w:bCs/>
      <w:sz w:val="24"/>
      <w:szCs w:val="24"/>
    </w:rPr>
  </w:style>
  <w:style w:type="paragraph" w:styleId="Heading3">
    <w:name w:val="heading 3"/>
    <w:basedOn w:val="Normal"/>
    <w:uiPriority w:val="1"/>
    <w:qFormat/>
    <w:pPr>
      <w:spacing w:before="1"/>
      <w:ind w:left="16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3" w:hanging="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7C0"/>
    <w:pPr>
      <w:tabs>
        <w:tab w:val="center" w:pos="4680"/>
        <w:tab w:val="right" w:pos="9360"/>
      </w:tabs>
    </w:pPr>
  </w:style>
  <w:style w:type="character" w:customStyle="1" w:styleId="HeaderChar">
    <w:name w:val="Header Char"/>
    <w:basedOn w:val="DefaultParagraphFont"/>
    <w:link w:val="Header"/>
    <w:uiPriority w:val="99"/>
    <w:rsid w:val="00E637C0"/>
    <w:rPr>
      <w:rFonts w:ascii="Arial" w:eastAsia="Arial" w:hAnsi="Arial" w:cs="Arial"/>
    </w:rPr>
  </w:style>
  <w:style w:type="paragraph" w:styleId="Footer">
    <w:name w:val="footer"/>
    <w:basedOn w:val="Normal"/>
    <w:link w:val="FooterChar"/>
    <w:uiPriority w:val="99"/>
    <w:unhideWhenUsed/>
    <w:rsid w:val="00E637C0"/>
    <w:pPr>
      <w:tabs>
        <w:tab w:val="center" w:pos="4680"/>
        <w:tab w:val="right" w:pos="9360"/>
      </w:tabs>
    </w:pPr>
  </w:style>
  <w:style w:type="character" w:customStyle="1" w:styleId="FooterChar">
    <w:name w:val="Footer Char"/>
    <w:basedOn w:val="DefaultParagraphFont"/>
    <w:link w:val="Footer"/>
    <w:uiPriority w:val="99"/>
    <w:rsid w:val="00E637C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Inventory Worksheet Template</dc:title>
  <dc:subject>Chemical Inventory Template</dc:subject>
  <dc:creator>NYSDEC</dc:creator>
  <cp:keywords>chemical management, inventory, storage, hazards, laboratory, color coding, high school chemistry</cp:keywords>
  <cp:lastModifiedBy>Zeeshan</cp:lastModifiedBy>
  <cp:revision>3</cp:revision>
  <dcterms:created xsi:type="dcterms:W3CDTF">2018-01-16T15:22:00Z</dcterms:created>
  <dcterms:modified xsi:type="dcterms:W3CDTF">2019-07-17T12:42:00Z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PScript5.dll Version 5.2.2</vt:lpwstr>
  </property>
  <property fmtid="{D5CDD505-2E9C-101B-9397-08002B2CF9AE}" pid="4" name="LastSaved">
    <vt:filetime>2018-01-16T00:00:00Z</vt:filetime>
  </property>
</Properties>
</file>